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Arguments de soutenance : maquette et conception</w:t>
      </w:r>
    </w:p>
    <w:p>
      <w:pPr>
        <w:pBdr>
          <w:left w:val="single" w:color="B5651D" w:sz="24" w:space="10"/>
        </w:pBdr>
        <w:shd w:fill="FBF3EA" w:color="auto" w:val="clear"/>
        <w:spacing w:after="160" w:before="80" w:line="276"/>
        <w:ind w:left="200" w:right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Document de préparation interne</w:t>
      </w:r>
      <w:r>
        <w:rPr>
          <w:rFonts w:ascii="Calibri" w:cs="Calibri" w:eastAsia="Calibri" w:hAnsi="Calibri"/>
          <w:sz w:val="21"/>
          <w:szCs w:val="21"/>
        </w:rPr>
        <w:t xml:space="preserve"> (ne pas insérer dans le CDC). Chaque argument tient en 20 à 30 secondes à l'oral. Le chiffre est la preuve à citer.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1. Un argument par décision de conception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4130"/>
        <w:gridCol w:w="2294"/>
        <w:gridCol w:w="1379"/>
      </w:tblGrid>
      <w:tr>
        <w:trPr>
          <w:cantSplit/>
          <w:tblHeader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Décision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Argument à dire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Preuve à citer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Réf. CDC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 « Mémoires du Cameroun »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nom court et mémorisable pour le public, tout en gardant le titre complet du thème comme sous-titre pour rester dans la commande.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Titre complet conservé en sous-titre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§11.1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Palette « Terre &amp; Or »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terre et l'or évoquent la matière du patrimoine et la valeur de la mémoire. L'alternance bleu nuit, crème, ocre structure la page en trois temps : découvrir, explorer, contribuer.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fonds, 1 accent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§11.3.1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 vif réservé aux fonds et au décor, or foncé pour les textes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Nous avons mesuré les contrastes : l'or vif sur crème fait 2,2:1, donc insuffisant. Nous l'avons gardé pour les boutons avec texte sombre et pris un or foncé pour les numéros et icônes.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2,2:1 devient 5,0:1 (seuil AA : 4,5:1)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§11.3.1, §11.8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Crème pour le petit texte sur bleu nuit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texte crème atteint 9,9:1 sur le bleu nuit, là où l'or était à la limite à 4,5:1.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9,9:1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Playfair Display + Inter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serif porte le ton éditorial et patrimonial des titres ; le sans-serif assure la lisibilité du texte courant à l'écran, y compris sur mobile.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familles seulement (poids léger)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§11.3.2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Hero : fil conducteur + deux CTA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visiteur comprend en cinq secondes de quoi parle le portail et choisit entre ses deux entrées : le patrimoine ou les méthodes. Cela reflète les deux publics du CDC.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 conducteur validé en phase 1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§1.4, §11.5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Badge « Patrimoine vivant » (et non « Archives vivantes »)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Notre portail référence et oriente, il n'héberge pas d'archives. Nous avons corrigé le badge pour ne pas promettre ce que nous ne livrons pas.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Cohérence avec §1.3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§1.3, §11.8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Compteur « 6 régions à explorer »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chiffre doit être vrai. Nous avons remplacé « 10 régions » par un chiffre qui correspond au contenu réellement publié.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Écart 3 corrigé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§11.8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« Trois chemins d'exploration »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trois colonnes sont nos trois axes éditoriaux : le patrimoine, les méthodes, la communauté. La page d'accueil rend la problématique lisible.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Axes du §1.4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§1.4, §11.5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Bandeau ocre « Une mémoire collective »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porte l'objectif O5 : mobiliser. Il change de couleur pour marquer la rupture entre consulter et contribuer.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O5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§2.2, §11.5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Bouton Contribuer dans le menu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fonctionnalité Must F07 doit être visible partout. Placée en bouton doré, elle reste un appel à l'action sans alourdir la navigation (cinq liens plus un bouton).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 rubriques du CDC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§11.4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Crédits photo et licence CC BY-SA 4.0 en pied de page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Les humanités numériques reposent sur la traçabilité : sources, auteurs, licences. Nous l'appliquons à notre propre portail.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Crédit visible dès le hero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§6, §11.5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Mobile-first et sobriété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mobile domine et la connexion est variable. Nous concevons d'abord pour le petit écran et limitons le poids : peu de polices, images optimisées.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Écran mobile (écran 10)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§3.3, §11.6</w:t>
            </w:r>
          </w:p>
        </w:tc>
      </w:tr>
      <w:tr>
        <w:trPr>
          <w:cantSplit/>
        </w:trPr>
        <w:tc>
          <w:tcPr>
            <w:tcW w:type="dxa" w:w="1835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Formulaire simulé</w:t>
            </w:r>
          </w:p>
        </w:tc>
        <w:tc>
          <w:tcPr>
            <w:tcW w:type="dxa" w:w="4130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Il démontre la validation et la gestion d'état en React sans back-end. L'encart explique le branchement en production (Formspree ou EmailJS), et un lien mailto reste disponible en secours.</w:t>
            </w:r>
          </w:p>
        </w:tc>
        <w:tc>
          <w:tcPr>
            <w:tcW w:type="dxa" w:w="2294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Choix assumé en phase 1</w:t>
            </w:r>
          </w:p>
        </w:tc>
        <w:tc>
          <w:tcPr>
            <w:tcW w:type="dxa" w:w="1379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§5.4, §11.5</w:t>
            </w:r>
          </w:p>
        </w:tc>
      </w:tr>
    </w:tbl>
    <w:p>
      <w:pPr>
        <w:spacing w:after="14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2. Questions probables du jury sur la conception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97"/>
        <w:gridCol w:w="6541"/>
      </w:tblGrid>
      <w:tr>
        <w:trPr>
          <w:cantSplit/>
          <w:tblHeader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1F4E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Réponse courte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ces couleurs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Elles renvoient à la terre et à l'or, symboles de la matière et de la valeur du patrimoine, et sont déclinées en trois ambiances de section. Le choix a été validé par un contrôle de contraste.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Votre palette est-elle accessible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Oui pour les combinaisons retenues : texte noir sur crème 17,5:1, crème sur bleu nuit 9,9:1, blanc sur ocre 7,1:1, or foncé sur crème 5,0:1. L'or vif seul sur crème ne l'était pas (2,2:1), nous l'avons donc corrigé.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Avez-vous testé avec de vrais utilisateurs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Pas encore. La maquette a fait l'objet d'une revue critique face au CDC et d'un contrôle de contraste. Le test d'usage sur mobile et au clavier est prévu en recette, et c'est une évolution possible.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ne pas avoir tout maquetté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Nous avons maquetté les écrans qui portent les fonctions Must (accueil, liste, fiche, Contribuer, mobile). Les autres pages réutilisent les mêmes gabarits ; glossaire, carte, FR/EN et mode sombre sont des évolutions classées Should ou Could.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le formulaire est-il simulé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 portail n'a pas de back-end (hors périmètre, §5.4). La simulation démontre la logique React, et l'encart documente le branchement réel. Le lien mailto garantit qu'une personne peut tout de même nous écrire.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Votre site respecte-t-il la maquette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Sur les écrans maquettés, oui [à confirmer avec une comparaison captures / site avant la soutenance]. Les écarts connus sont listés dans le tableau §11.8.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Pourquoi un portail qui ne stocke pas d'archives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L'hébergement d'archives demande une infrastructure, des droits et un travail de conservation hors de portée d'un projet de trois jours. Nous référençons, expliquons et orientons, et nous le disons clairement.</w:t>
            </w:r>
          </w:p>
        </w:tc>
      </w:tr>
      <w:tr>
        <w:trPr>
          <w:cantSplit/>
        </w:trPr>
        <w:tc>
          <w:tcPr>
            <w:tcW w:type="dxa" w:w="3097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 quoi votre portail diffère-t-il de ce qui existe ?</w:t>
            </w:r>
          </w:p>
        </w:tc>
        <w:tc>
          <w:tcPr>
            <w:tcW w:type="dxa" w:w="6541"/>
            <w:tcBorders>
              <w:top w:val="single" w:color="A6B8BE" w:sz="4"/>
              <w:left w:val="single" w:color="A6B8BE" w:sz="4"/>
              <w:bottom w:val="single" w:color="A6B8BE" w:sz="4"/>
              <w:right w:val="single" w:color="A6B8BE" w:sz="4"/>
            </w:tcBorders>
            <w:shd w:fill="F5F8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[À compléter après le tableau §4.2.] Piste : une entrée en français qui croise le patrimoine camerounais et les méthodes numériques, avec un parcours pour étudiants, sobre en données.</w:t>
            </w:r>
          </w:p>
        </w:tc>
      </w:tr>
    </w:tbl>
    <w:p>
      <w:pPr>
        <w:spacing w:after="140" w:before="0"/>
      </w:pPr>
    </w:p>
    <w:p>
      <w:pPr>
        <w:pStyle w:val="Heading2"/>
      </w:pPr>
      <w:r>
        <w:rPr>
          <w:rFonts w:ascii="Calibri" w:cs="Calibri" w:eastAsia="Calibri" w:hAnsi="Calibri"/>
        </w:rPr>
        <w:t xml:space="preserve">3. À éviter à l'oral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sz w:val="22"/>
          <w:szCs w:val="22"/>
        </w:rPr>
        <w:t xml:space="preserve">Dire que le site est « parfaitement accessible » : dites « conforme AA sur les contrastes mesurés ; navigation clavier testée en recette ».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sz w:val="22"/>
          <w:szCs w:val="22"/>
        </w:rPr>
        <w:t xml:space="preserve">Annoncer des fonctionnalités maquettées mais non livrées : montrez ce qui est en ligne.</w:t>
      </w:r>
    </w:p>
    <w:p>
      <w:pPr>
        <w:pStyle w:val="ListParagraph"/>
        <w:numPr>
          <w:ilvl w:val="0"/>
          <w:numId w:val="2"/>
        </w:numPr>
        <w:spacing w:after="60" w:before="20"/>
      </w:pPr>
      <w:r>
        <w:rPr>
          <w:rFonts w:ascii="Calibri" w:cs="Calibri" w:eastAsia="Calibri" w:hAnsi="Calibri"/>
          <w:sz w:val="22"/>
          <w:szCs w:val="22"/>
        </w:rPr>
        <w:t xml:space="preserve">Dire « on a fait un beau design » : citez la décision, sa raison et le chiffre ou le lien avec le CDC.</w:t>
      </w:r>
    </w:p>
    <w:p>
      <w:pPr>
        <w:spacing w:after="60" w:before="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B8BE" w:sz="4" w:space="4"/>
      </w:pBdr>
    </w:pPr>
    <w:r>
      <w:rPr>
        <w:rFonts w:ascii="Calibri" w:cs="Calibri" w:eastAsia="Calibri" w:hAnsi="Calibri"/>
        <w:color w:val="555555"/>
        <w:sz w:val="17"/>
        <w:szCs w:val="17"/>
      </w:rPr>
      <w:t xml:space="preserve">BAMBE KENNEDY · ZRA JOSUE YOHANA — Mémoires du Cameroun</w:t>
    </w:r>
    <w:r>
      <w:rPr>
        <w:rFonts w:ascii="Calibri" w:cs="Calibri" w:eastAsia="Calibri" w:hAnsi="Calibri"/>
        <w:color w:val="555555"/>
        <w:sz w:val="17"/>
        <w:szCs w:val="17"/>
      </w:rPr>
      <w:ptab w:alignment="right" w:relativeTo="margin" w:leader="none"/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B5651D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1F4E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Arguments de soutenance : maquette et conception</dc:title>
  <dc:creator>BAMBE KENNEDY ; ZRA JOSUE YOHANA</dc:creator>
  <cp:lastModifiedBy>Un-named</cp:lastModifiedBy>
  <cp:revision>1</cp:revision>
  <dcterms:created xsi:type="dcterms:W3CDTF">2026-10-13T14:57:50.042Z</dcterms:created>
  <dcterms:modified xsi:type="dcterms:W3CDTF">2026-10-13T14:57:50.042Z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