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внешнему</w:t>
      </w:r>
      <w:r>
        <w:t xml:space="preserve"> </w:t>
      </w:r>
      <w:r>
        <w:t xml:space="preserve">курсу</w:t>
      </w:r>
    </w:p>
    <w:p>
      <w:pPr>
        <w:pStyle w:val="Subtitle"/>
      </w:pPr>
      <w:r>
        <w:t xml:space="preserve">2.</w:t>
      </w:r>
      <w:r>
        <w:t xml:space="preserve"> </w:t>
      </w:r>
      <w:r>
        <w:t xml:space="preserve">Безопасность</w:t>
      </w:r>
      <w:r>
        <w:t xml:space="preserve"> </w:t>
      </w:r>
      <w:r>
        <w:t xml:space="preserve">в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Дагделен</w:t>
      </w:r>
      <w:r>
        <w:t xml:space="preserve"> </w:t>
      </w:r>
      <w:r>
        <w:t xml:space="preserve">Зейнап</w:t>
      </w:r>
      <w:r>
        <w:t xml:space="preserve"> </w:t>
      </w:r>
      <w:r>
        <w:t xml:space="preserve">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кибербезопасности и пройти внешний курс.</w:t>
      </w:r>
    </w:p>
    <w:bookmarkEnd w:id="20"/>
    <w:bookmarkStart w:id="109" w:name="выполнение-заданий-внешнего-курс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заданий внешнего курса</w:t>
      </w:r>
    </w:p>
    <w:bookmarkStart w:id="24" w:name="протокол-прикладного-уровн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Протокол прикладного уровня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HTTPS — это протокол прикладного уровня, обеспечивающий безопасную передачу данных (рис. 1).</w:t>
      </w:r>
    </w:p>
    <w:p>
      <w:pPr>
        <w:pStyle w:val="CaptionedFigure"/>
      </w:pPr>
      <w:r>
        <w:drawing>
          <wp:inline>
            <wp:extent cx="3733800" cy="1538530"/>
            <wp:effectExtent b="0" l="0" r="0" t="0"/>
            <wp:docPr descr="Задание" title="" id="22" name="Picture"/>
            <a:graphic>
              <a:graphicData uri="http://schemas.openxmlformats.org/drawingml/2006/picture">
                <pic:pic>
                  <pic:nvPicPr>
                    <pic:cNvPr descr="image/1.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8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</w:t>
      </w:r>
    </w:p>
    <w:bookmarkEnd w:id="24"/>
    <w:bookmarkStart w:id="28" w:name="уровень-работы-протокола-tcp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Уровень работы протокола TCP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TCP работает на транспортном уровне модели OSI (рис. 2).</w:t>
      </w:r>
    </w:p>
    <w:p>
      <w:pPr>
        <w:pStyle w:val="CaptionedFigure"/>
      </w:pPr>
      <w:r>
        <w:drawing>
          <wp:inline>
            <wp:extent cx="3733800" cy="2830220"/>
            <wp:effectExtent b="0" l="0" r="0" t="0"/>
            <wp:docPr descr="Задание" title="" id="26" name="Picture"/>
            <a:graphic>
              <a:graphicData uri="http://schemas.openxmlformats.org/drawingml/2006/picture">
                <pic:pic>
                  <pic:nvPicPr>
                    <pic:cNvPr descr="image/1.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0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</w:t>
      </w:r>
    </w:p>
    <w:bookmarkEnd w:id="28"/>
    <w:bookmarkStart w:id="32" w:name="корректные-адреса-ipv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Корректные адреса IPv4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Примеры корректных IPv4-адресов:</w:t>
      </w:r>
      <w:r>
        <w:t xml:space="preserve"> </w:t>
      </w:r>
      <w:r>
        <w:rPr>
          <w:rStyle w:val="VerbatimChar"/>
        </w:rPr>
        <w:t xml:space="preserve">90.11.90.22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25.198.0.15</w:t>
      </w:r>
      <w:r>
        <w:t xml:space="preserve">(рис. 3).</w:t>
      </w:r>
    </w:p>
    <w:p>
      <w:pPr>
        <w:pStyle w:val="CaptionedFigure"/>
      </w:pPr>
      <w:r>
        <w:drawing>
          <wp:inline>
            <wp:extent cx="3733800" cy="2218634"/>
            <wp:effectExtent b="0" l="0" r="0" t="0"/>
            <wp:docPr descr="Задание" title="" id="30" name="Picture"/>
            <a:graphic>
              <a:graphicData uri="http://schemas.openxmlformats.org/drawingml/2006/picture">
                <pic:pic>
                  <pic:nvPicPr>
                    <pic:cNvPr descr="image/1.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</w:t>
      </w:r>
    </w:p>
    <w:bookmarkEnd w:id="32"/>
    <w:bookmarkStart w:id="36" w:name="функция-dns-сервер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Функция DNS сервера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DNS сервер сопоставляет доменные имена с IP-адресами(рис. 4).</w:t>
      </w:r>
    </w:p>
    <w:p>
      <w:pPr>
        <w:pStyle w:val="CaptionedFigure"/>
      </w:pPr>
      <w:r>
        <w:drawing>
          <wp:inline>
            <wp:extent cx="3733800" cy="2601899"/>
            <wp:effectExtent b="0" l="0" r="0" t="0"/>
            <wp:docPr descr="Задание" title="" id="34" name="Picture"/>
            <a:graphic>
              <a:graphicData uri="http://schemas.openxmlformats.org/drawingml/2006/picture">
                <pic:pic>
                  <pic:nvPicPr>
                    <pic:cNvPr descr="image/1.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</w:t>
      </w:r>
    </w:p>
    <w:bookmarkEnd w:id="36"/>
    <w:bookmarkStart w:id="40" w:name="последовательность-протоколов-в-tcpip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Последовательность протоколов в TCP/IP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Правильный порядок: прикладной → транспортный → сетевой → канальный (рис. 5).</w:t>
      </w:r>
    </w:p>
    <w:p>
      <w:pPr>
        <w:pStyle w:val="CaptionedFigure"/>
      </w:pPr>
      <w:r>
        <w:drawing>
          <wp:inline>
            <wp:extent cx="3733800" cy="2457122"/>
            <wp:effectExtent b="0" l="0" r="0" t="0"/>
            <wp:docPr descr="Задание" title="" id="38" name="Picture"/>
            <a:graphic>
              <a:graphicData uri="http://schemas.openxmlformats.org/drawingml/2006/picture">
                <pic:pic>
                  <pic:nvPicPr>
                    <pic:cNvPr descr="image/1.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</w:t>
      </w:r>
    </w:p>
    <w:bookmarkEnd w:id="40"/>
    <w:bookmarkStart w:id="44" w:name="протокол-http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Протокол HTTP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HTTP передает данные между клиентом и сервером в открытом виде (рис. 6).</w:t>
      </w:r>
    </w:p>
    <w:p>
      <w:pPr>
        <w:pStyle w:val="CaptionedFigure"/>
      </w:pPr>
      <w:r>
        <w:drawing>
          <wp:inline>
            <wp:extent cx="3733800" cy="2317162"/>
            <wp:effectExtent b="0" l="0" r="0" t="0"/>
            <wp:docPr descr="Задание" title="" id="42" name="Picture"/>
            <a:graphic>
              <a:graphicData uri="http://schemas.openxmlformats.org/drawingml/2006/picture">
                <pic:pic>
                  <pic:nvPicPr>
                    <pic:cNvPr descr="image/1.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</w:t>
      </w:r>
    </w:p>
    <w:bookmarkEnd w:id="44"/>
    <w:bookmarkStart w:id="48" w:name="состав-протокола-https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Состав протокола HTTPS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HTTPS включает фазы рукопожатия и передачи данных с шифрованием (рис. 7).</w:t>
      </w:r>
    </w:p>
    <w:p>
      <w:pPr>
        <w:pStyle w:val="CaptionedFigure"/>
      </w:pPr>
      <w:r>
        <w:drawing>
          <wp:inline>
            <wp:extent cx="3733800" cy="1926081"/>
            <wp:effectExtent b="0" l="0" r="0" t="0"/>
            <wp:docPr descr="Задание" title="" id="46" name="Picture"/>
            <a:graphic>
              <a:graphicData uri="http://schemas.openxmlformats.org/drawingml/2006/picture">
                <pic:pic>
                  <pic:nvPicPr>
                    <pic:cNvPr descr="image/1.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</w:t>
      </w:r>
    </w:p>
    <w:bookmarkEnd w:id="48"/>
    <w:bookmarkStart w:id="52" w:name="определение-версии-tls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Определение версии TLS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Версия TLS согласуется между клиентом и сервером в процессе</w:t>
      </w:r>
      <w:r>
        <w:t xml:space="preserve"> </w:t>
      </w:r>
      <w:r>
        <w:t xml:space="preserve">“</w:t>
      </w:r>
      <w:r>
        <w:t xml:space="preserve">переговоров</w:t>
      </w:r>
      <w:r>
        <w:t xml:space="preserve">”</w:t>
      </w:r>
      <w:r>
        <w:t xml:space="preserve">(рис. 8).</w:t>
      </w:r>
    </w:p>
    <w:p>
      <w:pPr>
        <w:pStyle w:val="CaptionedFigure"/>
      </w:pPr>
      <w:r>
        <w:drawing>
          <wp:inline>
            <wp:extent cx="3733800" cy="2837234"/>
            <wp:effectExtent b="0" l="0" r="0" t="0"/>
            <wp:docPr descr="Задание" title="" id="50" name="Picture"/>
            <a:graphic>
              <a:graphicData uri="http://schemas.openxmlformats.org/drawingml/2006/picture">
                <pic:pic>
                  <pic:nvPicPr>
                    <pic:cNvPr descr="image/1.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</w:t>
      </w:r>
    </w:p>
    <w:bookmarkEnd w:id="52"/>
    <w:bookmarkStart w:id="56" w:name="фаза-рукопожатия-в-tls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Фаза</w:t>
      </w:r>
      <w:r>
        <w:t xml:space="preserve"> </w:t>
      </w:r>
      <w:r>
        <w:t xml:space="preserve">“</w:t>
      </w:r>
      <w:r>
        <w:t xml:space="preserve">рукопожатия</w:t>
      </w:r>
      <w:r>
        <w:t xml:space="preserve">”</w:t>
      </w:r>
      <w:r>
        <w:t xml:space="preserve"> </w:t>
      </w:r>
      <w:r>
        <w:t xml:space="preserve">в TLS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 этой фазе не происходит шифрование данных, только согласование параметров (рис. 9).</w:t>
      </w:r>
    </w:p>
    <w:p>
      <w:pPr>
        <w:pStyle w:val="CaptionedFigure"/>
      </w:pPr>
      <w:r>
        <w:drawing>
          <wp:inline>
            <wp:extent cx="3733800" cy="2158740"/>
            <wp:effectExtent b="0" l="0" r="0" t="0"/>
            <wp:docPr descr="Задание" title="" id="54" name="Picture"/>
            <a:graphic>
              <a:graphicData uri="http://schemas.openxmlformats.org/drawingml/2006/picture">
                <pic:pic>
                  <pic:nvPicPr>
                    <pic:cNvPr descr="image/1.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8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</w:t>
      </w:r>
    </w:p>
    <w:bookmarkEnd w:id="56"/>
    <w:bookmarkStart w:id="60" w:name="данные-для-аутентификации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Данные для аутентификации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Для аутентификации могут использоваться идентификатор пользователя и пароль (рис. 10).</w:t>
      </w:r>
    </w:p>
    <w:p>
      <w:pPr>
        <w:pStyle w:val="CaptionedFigure"/>
      </w:pPr>
      <w:r>
        <w:drawing>
          <wp:inline>
            <wp:extent cx="3733800" cy="2300538"/>
            <wp:effectExtent b="0" l="0" r="0" t="0"/>
            <wp:docPr descr="Задание" title="" id="58" name="Picture"/>
            <a:graphic>
              <a:graphicData uri="http://schemas.openxmlformats.org/drawingml/2006/picture">
                <pic:pic>
                  <pic:nvPicPr>
                    <pic:cNvPr descr="image/1.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</w:t>
      </w:r>
    </w:p>
    <w:bookmarkEnd w:id="60"/>
    <w:bookmarkStart w:id="64" w:name="использование-куки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Использование куки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Куки не предназначены для улучшения надежности соединения (рис. 11).</w:t>
      </w:r>
    </w:p>
    <w:p>
      <w:pPr>
        <w:pStyle w:val="CaptionedFigure"/>
      </w:pPr>
      <w:r>
        <w:drawing>
          <wp:inline>
            <wp:extent cx="3733800" cy="2693056"/>
            <wp:effectExtent b="0" l="0" r="0" t="0"/>
            <wp:docPr descr="Задание" title="" id="62" name="Picture"/>
            <a:graphic>
              <a:graphicData uri="http://schemas.openxmlformats.org/drawingml/2006/picture">
                <pic:pic>
                  <pic:nvPicPr>
                    <pic:cNvPr descr="image/1.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3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</w:t>
      </w:r>
    </w:p>
    <w:bookmarkEnd w:id="64"/>
    <w:bookmarkStart w:id="68" w:name="генерация-куки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Генерация куки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Куки создаются сервером и отправляются клиенту(рис. 12).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Задание" title="" id="66" name="Picture"/>
            <a:graphic>
              <a:graphicData uri="http://schemas.openxmlformats.org/drawingml/2006/picture">
                <pic:pic>
                  <pic:nvPicPr>
                    <pic:cNvPr descr="image/1.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</w:t>
      </w:r>
    </w:p>
    <w:bookmarkEnd w:id="68"/>
    <w:bookmarkStart w:id="72" w:name="хранение-сессионных-куки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Хранение сессионных куки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Сессионные куки хранятся в браузере только во время использования сайта (рис. 13).</w:t>
      </w:r>
    </w:p>
    <w:p>
      <w:pPr>
        <w:pStyle w:val="CaptionedFigure"/>
      </w:pPr>
      <w:r>
        <w:drawing>
          <wp:inline>
            <wp:extent cx="3733800" cy="2585226"/>
            <wp:effectExtent b="0" l="0" r="0" t="0"/>
            <wp:docPr descr="Задание" title="" id="70" name="Picture"/>
            <a:graphic>
              <a:graphicData uri="http://schemas.openxmlformats.org/drawingml/2006/picture">
                <pic:pic>
                  <pic:nvPicPr>
                    <pic:cNvPr descr="image/1.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</w:t>
      </w:r>
    </w:p>
    <w:bookmarkEnd w:id="72"/>
    <w:bookmarkStart w:id="76" w:name="промежуточные-узлы-в-tor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Промежуточные узлы в TOR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 сети TOR используется 3 промежуточных узла(рис. 14).</w:t>
      </w:r>
    </w:p>
    <w:p>
      <w:pPr>
        <w:pStyle w:val="CaptionedFigure"/>
      </w:pPr>
      <w:r>
        <w:drawing>
          <wp:inline>
            <wp:extent cx="3733800" cy="2592608"/>
            <wp:effectExtent b="0" l="0" r="0" t="0"/>
            <wp:docPr descr="Задание" title="" id="74" name="Picture"/>
            <a:graphic>
              <a:graphicData uri="http://schemas.openxmlformats.org/drawingml/2006/picture">
                <pic:pic>
                  <pic:nvPicPr>
                    <pic:cNvPr descr="image/1.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2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</w:t>
      </w:r>
    </w:p>
    <w:bookmarkEnd w:id="76"/>
    <w:bookmarkStart w:id="80" w:name="узлы-в-луковой-сети-tor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Узлы в луковой сети TOR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Ключевые узлы: охранный, промежуточный и выходной (рис. 15).</w:t>
      </w:r>
    </w:p>
    <w:p>
      <w:pPr>
        <w:pStyle w:val="CaptionedFigure"/>
      </w:pPr>
      <w:r>
        <w:drawing>
          <wp:inline>
            <wp:extent cx="3733800" cy="2538491"/>
            <wp:effectExtent b="0" l="0" r="0" t="0"/>
            <wp:docPr descr="Задание" title="" id="78" name="Picture"/>
            <a:graphic>
              <a:graphicData uri="http://schemas.openxmlformats.org/drawingml/2006/picture">
                <pic:pic>
                  <pic:nvPicPr>
                    <pic:cNvPr descr="image/1.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</w:t>
      </w:r>
    </w:p>
    <w:bookmarkEnd w:id="80"/>
    <w:bookmarkStart w:id="84" w:name="генерация-ключа-в-tor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Генерация ключа в TOR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Отправитель создает общий ключ с охранным, промежуточным и выходным узлами (рис. 16).</w:t>
      </w:r>
    </w:p>
    <w:p>
      <w:pPr>
        <w:pStyle w:val="CaptionedFigure"/>
      </w:pPr>
      <w:r>
        <w:drawing>
          <wp:inline>
            <wp:extent cx="3733800" cy="2987039"/>
            <wp:effectExtent b="0" l="0" r="0" t="0"/>
            <wp:docPr descr="Задание" title="" id="82" name="Picture"/>
            <a:graphic>
              <a:graphicData uri="http://schemas.openxmlformats.org/drawingml/2006/picture">
                <pic:pic>
                  <pic:nvPicPr>
                    <pic:cNvPr descr="image/1.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</w:t>
      </w:r>
    </w:p>
    <w:bookmarkEnd w:id="84"/>
    <w:bookmarkStart w:id="88" w:name="использование-браузера-tor-получателем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Использование браузера TOR получателем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Получателю не требуется использовать TOR для получения пакетов (рис. 17).</w:t>
      </w:r>
    </w:p>
    <w:p>
      <w:pPr>
        <w:pStyle w:val="CaptionedFigure"/>
      </w:pPr>
      <w:r>
        <w:drawing>
          <wp:inline>
            <wp:extent cx="3733800" cy="1358101"/>
            <wp:effectExtent b="0" l="0" r="0" t="0"/>
            <wp:docPr descr="Задание" title="" id="86" name="Picture"/>
            <a:graphic>
              <a:graphicData uri="http://schemas.openxmlformats.org/drawingml/2006/picture">
                <pic:pic>
                  <pic:nvPicPr>
                    <pic:cNvPr descr="image/1.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</w:t>
      </w:r>
    </w:p>
    <w:bookmarkEnd w:id="88"/>
    <w:bookmarkStart w:id="92" w:name="определение-wi-fi"/>
    <w:p>
      <w:pPr>
        <w:pStyle w:val="Heading2"/>
      </w:pPr>
      <w:r>
        <w:rPr>
          <w:rStyle w:val="SectionNumber"/>
        </w:rPr>
        <w:t xml:space="preserve">2.18</w:t>
      </w:r>
      <w:r>
        <w:tab/>
      </w:r>
      <w:r>
        <w:t xml:space="preserve">Определение Wi-Fi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Wi-Fi — это технология беспроводной сети по стандарту IEEE 802.11. (рис. 18)</w:t>
      </w:r>
    </w:p>
    <w:p>
      <w:pPr>
        <w:pStyle w:val="CaptionedFigure"/>
      </w:pPr>
      <w:r>
        <w:drawing>
          <wp:inline>
            <wp:extent cx="3733800" cy="1708525"/>
            <wp:effectExtent b="0" l="0" r="0" t="0"/>
            <wp:docPr descr="1.18" title="" id="90" name="Picture"/>
            <a:graphic>
              <a:graphicData uri="http://schemas.openxmlformats.org/drawingml/2006/picture">
                <pic:pic>
                  <pic:nvPicPr>
                    <pic:cNvPr descr="image/1.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1.18</w:t>
      </w:r>
    </w:p>
    <w:bookmarkEnd w:id="92"/>
    <w:bookmarkStart w:id="96" w:name="уровень-работы-протокола-wi-fi"/>
    <w:p>
      <w:pPr>
        <w:pStyle w:val="Heading2"/>
      </w:pPr>
      <w:r>
        <w:rPr>
          <w:rStyle w:val="SectionNumber"/>
        </w:rPr>
        <w:t xml:space="preserve">2.19</w:t>
      </w:r>
      <w:r>
        <w:tab/>
      </w:r>
      <w:r>
        <w:t xml:space="preserve">Уровень работы протокола Wi-Fi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Wi-Fi работает на канальном уровне модели OSI (рис. 19).</w:t>
      </w:r>
    </w:p>
    <w:p>
      <w:pPr>
        <w:pStyle w:val="CaptionedFigure"/>
      </w:pPr>
      <w:r>
        <w:drawing>
          <wp:inline>
            <wp:extent cx="3733800" cy="2663395"/>
            <wp:effectExtent b="0" l="0" r="0" t="0"/>
            <wp:docPr descr="Задание" title="" id="94" name="Picture"/>
            <a:graphic>
              <a:graphicData uri="http://schemas.openxmlformats.org/drawingml/2006/picture">
                <pic:pic>
                  <pic:nvPicPr>
                    <pic:cNvPr descr="image/1.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</w:t>
      </w:r>
    </w:p>
    <w:bookmarkEnd w:id="96"/>
    <w:bookmarkStart w:id="100" w:name="небезопасный-метод-шифрования-wi-fi"/>
    <w:p>
      <w:pPr>
        <w:pStyle w:val="Heading2"/>
      </w:pPr>
      <w:r>
        <w:rPr>
          <w:rStyle w:val="SectionNumber"/>
        </w:rPr>
        <w:t xml:space="preserve">2.20</w:t>
      </w:r>
      <w:r>
        <w:tab/>
      </w:r>
      <w:r>
        <w:t xml:space="preserve">Небезопасный метод шифрования Wi-Fi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WEP устарел и считается небезопасным (рис. 20).</w:t>
      </w:r>
    </w:p>
    <w:p>
      <w:pPr>
        <w:pStyle w:val="CaptionedFigure"/>
      </w:pPr>
      <w:r>
        <w:drawing>
          <wp:inline>
            <wp:extent cx="3733800" cy="2051986"/>
            <wp:effectExtent b="0" l="0" r="0" t="0"/>
            <wp:docPr descr="Задание" title="" id="98" name="Picture"/>
            <a:graphic>
              <a:graphicData uri="http://schemas.openxmlformats.org/drawingml/2006/picture">
                <pic:pic>
                  <pic:nvPicPr>
                    <pic:cNvPr descr="image/1.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</w:t>
      </w:r>
    </w:p>
    <w:bookmarkEnd w:id="100"/>
    <w:bookmarkStart w:id="104" w:name="передача-данных-между-хостом-и-роутером"/>
    <w:p>
      <w:pPr>
        <w:pStyle w:val="Heading2"/>
      </w:pPr>
      <w:r>
        <w:rPr>
          <w:rStyle w:val="SectionNumber"/>
        </w:rPr>
        <w:t xml:space="preserve">2.21</w:t>
      </w:r>
      <w:r>
        <w:tab/>
      </w:r>
      <w:r>
        <w:t xml:space="preserve">Передача данных между хостом и роутером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Данные между хостом и роутером передаются в зашифрованном виде после аутентификации устройств (рис. 21).</w:t>
      </w:r>
    </w:p>
    <w:p>
      <w:pPr>
        <w:pStyle w:val="CaptionedFigure"/>
      </w:pPr>
      <w:r>
        <w:drawing>
          <wp:inline>
            <wp:extent cx="3733800" cy="2214627"/>
            <wp:effectExtent b="0" l="0" r="0" t="0"/>
            <wp:docPr descr="Задание" title="" id="102" name="Picture"/>
            <a:graphic>
              <a:graphicData uri="http://schemas.openxmlformats.org/drawingml/2006/picture">
                <pic:pic>
                  <pic:nvPicPr>
                    <pic:cNvPr descr="image/1.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</w:t>
      </w:r>
    </w:p>
    <w:bookmarkEnd w:id="104"/>
    <w:bookmarkStart w:id="108" w:name="метод-аутентификации-в-домашней-сети"/>
    <w:p>
      <w:pPr>
        <w:pStyle w:val="Heading2"/>
      </w:pPr>
      <w:r>
        <w:rPr>
          <w:rStyle w:val="SectionNumber"/>
        </w:rPr>
        <w:t xml:space="preserve">2.22</w:t>
      </w:r>
      <w:r>
        <w:tab/>
      </w:r>
      <w:r>
        <w:t xml:space="preserve">Метод аутентификации в домашней сети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 домашних сетях обычно используется WPA2 Personal для аутентификации устройств (рис. 22).</w:t>
      </w:r>
    </w:p>
    <w:p>
      <w:pPr>
        <w:pStyle w:val="CaptionedFigure"/>
      </w:pPr>
      <w:r>
        <w:drawing>
          <wp:inline>
            <wp:extent cx="3733800" cy="2128475"/>
            <wp:effectExtent b="0" l="0" r="0" t="0"/>
            <wp:docPr descr="Задание" title="" id="106" name="Picture"/>
            <a:graphic>
              <a:graphicData uri="http://schemas.openxmlformats.org/drawingml/2006/picture">
                <pic:pic>
                  <pic:nvPicPr>
                    <pic:cNvPr descr="image/1.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</w:t>
      </w:r>
    </w:p>
    <w:bookmarkEnd w:id="108"/>
    <w:bookmarkEnd w:id="109"/>
    <w:bookmarkStart w:id="11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прошла 1 часть курса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внешнему курсу</dc:title>
  <dc:creator>Дагделен Зейнап Реджеповна</dc:creator>
  <dc:language>ru-RU</dc:language>
  <cp:keywords/>
  <dcterms:created xsi:type="dcterms:W3CDTF">2025-05-10T15:47:30Z</dcterms:created>
  <dcterms:modified xsi:type="dcterms:W3CDTF">2025-05-10T15:47:30Z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2. Безопасность в сети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