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</w:p>
    <w:p>
      <w:pPr>
        <w:pStyle w:val="Subtitle"/>
      </w:pPr>
      <w:r>
        <w:t xml:space="preserve">3.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кибербезопасности и пройти внешний курс.</w:t>
      </w:r>
    </w:p>
    <w:bookmarkEnd w:id="20"/>
    <w:bookmarkStart w:id="77" w:name="выполнение-заданий-внешнего-курс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внешнего курса</w:t>
      </w:r>
    </w:p>
    <w:bookmarkStart w:id="24" w:name="X8546a67836c03f67bad21971ef3b893d9fd87a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Можно ли зашифровать загрузочный сектор диска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Да, загрузочный сектор диска можно зашифровать, например, с помощью инструментов вроде VeraCrypt или BitLocker (рис. 1).</w:t>
      </w:r>
    </w:p>
    <w:p>
      <w:pPr>
        <w:pStyle w:val="CaptionedFigure"/>
      </w:pPr>
      <w:r>
        <w:drawing>
          <wp:inline>
            <wp:extent cx="3733800" cy="1967730"/>
            <wp:effectExtent b="0" l="0" r="0" t="0"/>
            <wp:docPr descr="Задание" title="" id="22" name="Picture"/>
            <a:graphic>
              <a:graphicData uri="http://schemas.openxmlformats.org/drawingml/2006/picture">
                <pic:pic>
                  <pic:nvPicPr>
                    <pic:cNvPr descr="image/2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</w:t>
      </w:r>
    </w:p>
    <w:bookmarkEnd w:id="24"/>
    <w:bookmarkStart w:id="28" w:name="шифрование-диска-основано-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Шифрование диска основано на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Шифрование диска использует симметричное шифрование для обеспечения безопасности данных (рис. 2).</w:t>
      </w:r>
    </w:p>
    <w:p>
      <w:pPr>
        <w:pStyle w:val="CaptionedFigure"/>
      </w:pPr>
      <w:r>
        <w:drawing>
          <wp:inline>
            <wp:extent cx="3733800" cy="2844043"/>
            <wp:effectExtent b="0" l="0" r="0" t="0"/>
            <wp:docPr descr="Задание" title="" id="26" name="Picture"/>
            <a:graphic>
              <a:graphicData uri="http://schemas.openxmlformats.org/drawingml/2006/picture">
                <pic:pic>
                  <pic:nvPicPr>
                    <pic:cNvPr descr="image/2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</w:t>
      </w:r>
    </w:p>
    <w:bookmarkEnd w:id="28"/>
    <w:bookmarkStart w:id="32" w:name="X39a55d5314cfca0ee4be1264bc17cb728c1e80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 помощью каких программ можно зашифровать жесткий диск?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VeraCrypt и BitLocker — популярные программы для шифрования жесткого диска (рис. 3).</w:t>
      </w:r>
    </w:p>
    <w:p>
      <w:pPr>
        <w:pStyle w:val="CaptionedFigure"/>
      </w:pPr>
      <w:r>
        <w:drawing>
          <wp:inline>
            <wp:extent cx="3733800" cy="2382791"/>
            <wp:effectExtent b="0" l="0" r="0" t="0"/>
            <wp:docPr descr="Задание" title="" id="30" name="Picture"/>
            <a:graphic>
              <a:graphicData uri="http://schemas.openxmlformats.org/drawingml/2006/picture">
                <pic:pic>
                  <pic:nvPicPr>
                    <pic:cNvPr descr="image/2.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</w:t>
      </w:r>
    </w:p>
    <w:bookmarkEnd w:id="32"/>
    <w:bookmarkStart w:id="36" w:name="какие-пароли-можно-отнести-к-стойким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Какие пароли можно отнести к стойким?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Стойкий пароль содержит сложную комбинацию символов, например,</w:t>
      </w:r>
      <w:r>
        <w:t xml:space="preserve"> </w:t>
      </w:r>
      <w:r>
        <w:rPr>
          <w:rStyle w:val="VerbatimChar"/>
        </w:rPr>
        <w:t xml:space="preserve">UQr9@j4!S$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3206573"/>
            <wp:effectExtent b="0" l="0" r="0" t="0"/>
            <wp:docPr descr="Задание" title="" id="34" name="Picture"/>
            <a:graphic>
              <a:graphicData uri="http://schemas.openxmlformats.org/drawingml/2006/picture">
                <pic:pic>
                  <pic:nvPicPr>
                    <pic:cNvPr descr="image/2.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</w:t>
      </w:r>
    </w:p>
    <w:bookmarkEnd w:id="36"/>
    <w:bookmarkStart w:id="40" w:name="где-безопасно-хранить-парол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Где безопасно хранить пароли?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Менеджеры паролей — наиболее безопасный способ хранения паролей (рис. 5).</w:t>
      </w:r>
    </w:p>
    <w:p>
      <w:pPr>
        <w:pStyle w:val="CaptionedFigure"/>
      </w:pPr>
      <w:r>
        <w:drawing>
          <wp:inline>
            <wp:extent cx="3733800" cy="2943674"/>
            <wp:effectExtent b="0" l="0" r="0" t="0"/>
            <wp:docPr descr="Задание" title="" id="38" name="Picture"/>
            <a:graphic>
              <a:graphicData uri="http://schemas.openxmlformats.org/drawingml/2006/picture">
                <pic:pic>
                  <pic:nvPicPr>
                    <pic:cNvPr descr="image/2.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</w:t>
      </w:r>
    </w:p>
    <w:bookmarkEnd w:id="40"/>
    <w:bookmarkStart w:id="44" w:name="зачем-нужна-капч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Зачем нужна капча?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Капча защищает от автоматизированных атак, таких как брутфорс (рис. 6).</w:t>
      </w:r>
    </w:p>
    <w:p>
      <w:pPr>
        <w:pStyle w:val="CaptionedFigure"/>
      </w:pPr>
      <w:r>
        <w:drawing>
          <wp:inline>
            <wp:extent cx="3733800" cy="1621583"/>
            <wp:effectExtent b="0" l="0" r="0" t="0"/>
            <wp:docPr descr="2.6" title="" id="42" name="Picture"/>
            <a:graphic>
              <a:graphicData uri="http://schemas.openxmlformats.org/drawingml/2006/picture">
                <pic:pic>
                  <pic:nvPicPr>
                    <pic:cNvPr descr="image/2.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2.6</w:t>
      </w:r>
    </w:p>
    <w:bookmarkEnd w:id="44"/>
    <w:bookmarkStart w:id="48" w:name="для-чего-применяется-хэширование-паролей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Для чего применяется хэширование паролей?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Хэширование паролей предотвращает хранение паролей в открытом виде на сервере (рис. 7).</w:t>
      </w:r>
    </w:p>
    <w:p>
      <w:pPr>
        <w:pStyle w:val="CaptionedFigure"/>
      </w:pPr>
      <w:r>
        <w:drawing>
          <wp:inline>
            <wp:extent cx="3733800" cy="2581432"/>
            <wp:effectExtent b="0" l="0" r="0" t="0"/>
            <wp:docPr descr="Задание" title="" id="46" name="Picture"/>
            <a:graphic>
              <a:graphicData uri="http://schemas.openxmlformats.org/drawingml/2006/picture">
                <pic:pic>
                  <pic:nvPicPr>
                    <pic:cNvPr descr="image/2.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</w:t>
      </w:r>
    </w:p>
    <w:bookmarkEnd w:id="48"/>
    <w:bookmarkStart w:id="52" w:name="Xbb47ccafee1ff8173c6d30c87ee6a89e417edf6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Какие меры защищают от утечек данных атакой перебором?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Сложные пароли, капча и их периодическая смена снижают риск утечек (рис. 8).</w:t>
      </w:r>
    </w:p>
    <w:p>
      <w:pPr>
        <w:pStyle w:val="CaptionedFigure"/>
      </w:pPr>
      <w:r>
        <w:drawing>
          <wp:inline>
            <wp:extent cx="3733800" cy="2530812"/>
            <wp:effectExtent b="0" l="0" r="0" t="0"/>
            <wp:docPr descr="Задание" title="" id="50" name="Picture"/>
            <a:graphic>
              <a:graphicData uri="http://schemas.openxmlformats.org/drawingml/2006/picture">
                <pic:pic>
                  <pic:nvPicPr>
                    <pic:cNvPr descr="image/2.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</w:t>
      </w:r>
    </w:p>
    <w:bookmarkEnd w:id="52"/>
    <w:bookmarkStart w:id="56" w:name="X0c739692d59c311055287c54e680eb63ff53a58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Какие из следующих ссылок являются фишинговыми?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Фишинговые ссылки имитируют легитимные сайты, например, поддельный адрес Сбербанка (рис. 9).</w:t>
      </w:r>
    </w:p>
    <w:p>
      <w:pPr>
        <w:pStyle w:val="CaptionedFigure"/>
      </w:pPr>
      <w:r>
        <w:drawing>
          <wp:inline>
            <wp:extent cx="3733800" cy="2123420"/>
            <wp:effectExtent b="0" l="0" r="0" t="0"/>
            <wp:docPr descr="Задание" title="" id="54" name="Picture"/>
            <a:graphic>
              <a:graphicData uri="http://schemas.openxmlformats.org/drawingml/2006/picture">
                <pic:pic>
                  <pic:nvPicPr>
                    <pic:cNvPr descr="image/2.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</w:t>
      </w:r>
    </w:p>
    <w:bookmarkEnd w:id="56"/>
    <w:bookmarkStart w:id="60" w:name="X4a8e79355373f9ac56120d139c3366d2893702e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Может ли фишинговый имейл прийти от знакомого адреса?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Да, если злоумышленник подменил адрес отправителя (спуфинг) (рис. 10).</w:t>
      </w:r>
    </w:p>
    <w:p>
      <w:pPr>
        <w:pStyle w:val="CaptionedFigure"/>
      </w:pPr>
      <w:r>
        <w:drawing>
          <wp:inline>
            <wp:extent cx="3733800" cy="2467653"/>
            <wp:effectExtent b="0" l="0" r="0" t="0"/>
            <wp:docPr descr="2.10" title="" id="58" name="Picture"/>
            <a:graphic>
              <a:graphicData uri="http://schemas.openxmlformats.org/drawingml/2006/picture">
                <pic:pic>
                  <pic:nvPicPr>
                    <pic:cNvPr descr="image/2.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2.10</w:t>
      </w:r>
    </w:p>
    <w:bookmarkEnd w:id="60"/>
    <w:bookmarkStart w:id="64" w:name="email-спуфинг-это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Email Спуфинг – это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Спуфинг — это подмена адреса отправителя в письмах для обмана получателя (рис. 11).</w:t>
      </w:r>
    </w:p>
    <w:p>
      <w:pPr>
        <w:pStyle w:val="CaptionedFigure"/>
      </w:pPr>
      <w:r>
        <w:drawing>
          <wp:inline>
            <wp:extent cx="3733800" cy="2918324"/>
            <wp:effectExtent b="0" l="0" r="0" t="0"/>
            <wp:docPr descr="Задание" title="" id="62" name="Picture"/>
            <a:graphic>
              <a:graphicData uri="http://schemas.openxmlformats.org/drawingml/2006/picture">
                <pic:pic>
                  <pic:nvPicPr>
                    <pic:cNvPr descr="image/2.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</w:t>
      </w:r>
    </w:p>
    <w:bookmarkEnd w:id="64"/>
    <w:bookmarkStart w:id="68" w:name="вирус-троян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Вирус-троян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Троян маскируется под легитимную программу, чтобы обмануть пользователя(рис. 12).</w:t>
      </w:r>
    </w:p>
    <w:p>
      <w:pPr>
        <w:pStyle w:val="CaptionedFigure"/>
      </w:pPr>
      <w:r>
        <w:drawing>
          <wp:inline>
            <wp:extent cx="3733800" cy="2428593"/>
            <wp:effectExtent b="0" l="0" r="0" t="0"/>
            <wp:docPr descr="Задание" title="" id="66" name="Picture"/>
            <a:graphic>
              <a:graphicData uri="http://schemas.openxmlformats.org/drawingml/2006/picture">
                <pic:pic>
                  <pic:nvPicPr>
                    <pic:cNvPr descr="image/2.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</w:t>
      </w:r>
    </w:p>
    <w:bookmarkEnd w:id="68"/>
    <w:bookmarkStart w:id="72" w:name="ключ-шифрования-в-signal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Ключ шифрования в Signal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Signal ключ шифрования формируется при генерации первого сообщения (рис. 13).</w:t>
      </w:r>
    </w:p>
    <w:p>
      <w:pPr>
        <w:pStyle w:val="CaptionedFigure"/>
      </w:pPr>
      <w:r>
        <w:drawing>
          <wp:inline>
            <wp:extent cx="3733800" cy="2247990"/>
            <wp:effectExtent b="0" l="0" r="0" t="0"/>
            <wp:docPr descr="Задание" title="" id="70" name="Picture"/>
            <a:graphic>
              <a:graphicData uri="http://schemas.openxmlformats.org/drawingml/2006/picture">
                <pic:pic>
                  <pic:nvPicPr>
                    <pic:cNvPr descr="image/2.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</w:t>
      </w:r>
    </w:p>
    <w:bookmarkEnd w:id="72"/>
    <w:bookmarkStart w:id="76" w:name="суть-сквозного-шифрования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Суть сквозного шифрования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Сквозное шифрование исключает доступ сервера к содержимому сообщений(рис. 14).</w:t>
      </w:r>
    </w:p>
    <w:p>
      <w:pPr>
        <w:pStyle w:val="CaptionedFigure"/>
      </w:pPr>
      <w:r>
        <w:drawing>
          <wp:inline>
            <wp:extent cx="3733800" cy="2351789"/>
            <wp:effectExtent b="0" l="0" r="0" t="0"/>
            <wp:docPr descr="Задание" title="" id="74" name="Picture"/>
            <a:graphic>
              <a:graphicData uri="http://schemas.openxmlformats.org/drawingml/2006/picture">
                <pic:pic>
                  <pic:nvPicPr>
                    <pic:cNvPr descr="image/2.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</w:t>
      </w:r>
    </w:p>
    <w:bookmarkEnd w:id="76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2 часть курса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внешнему курсу</dc:title>
  <dc:creator>Дагделен Зейнап Реджеповна</dc:creator>
  <dc:language>ru-RU</dc:language>
  <cp:keywords/>
  <dcterms:created xsi:type="dcterms:W3CDTF">2025-05-10T15:47:30Z</dcterms:created>
  <dcterms:modified xsi:type="dcterms:W3CDTF">2025-05-10T15:47:30Z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3. Защита ПК/телефона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