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</w:p>
    <w:p>
      <w:pPr>
        <w:pStyle w:val="Subtitle"/>
      </w:pPr>
      <w:r>
        <w:t xml:space="preserve">4.</w:t>
      </w:r>
      <w:r>
        <w:t xml:space="preserve"> </w:t>
      </w: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Author"/>
      </w:pPr>
      <w:r>
        <w:t xml:space="preserve">Дагделен</w:t>
      </w:r>
      <w:r>
        <w:t xml:space="preserve"> </w:t>
      </w:r>
      <w:r>
        <w:t xml:space="preserve">Зейнап</w:t>
      </w:r>
      <w:r>
        <w:t xml:space="preserve"> </w:t>
      </w:r>
      <w:r>
        <w:t xml:space="preserve">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кибербезопасности и пройти внешний курс.</w:t>
      </w:r>
    </w:p>
    <w:bookmarkEnd w:id="20"/>
    <w:bookmarkStart w:id="85" w:name="выполнение-заданий-внешнего-курс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 внешнего курса</w:t>
      </w:r>
    </w:p>
    <w:bookmarkStart w:id="24" w:name="Xfcbee73594c77961672c93fca3a49da95843a1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 асимметричных криптографических примитивах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асимметричной криптографии обе стороны имеют пару ключей: открытый и секретный (рис. 1).</w:t>
      </w:r>
    </w:p>
    <w:p>
      <w:pPr>
        <w:pStyle w:val="CaptionedFigure"/>
      </w:pPr>
      <w:r>
        <w:drawing>
          <wp:inline>
            <wp:extent cx="3733800" cy="2157555"/>
            <wp:effectExtent b="0" l="0" r="0" t="0"/>
            <wp:docPr descr="Задание" title="" id="22" name="Picture"/>
            <a:graphic>
              <a:graphicData uri="http://schemas.openxmlformats.org/drawingml/2006/picture">
                <pic:pic>
                  <pic:nvPicPr>
                    <pic:cNvPr descr="image/3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</w:t>
      </w:r>
    </w:p>
    <w:bookmarkEnd w:id="24"/>
    <w:bookmarkStart w:id="28" w:name="свойства-криптографической-хэш-функ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Свойства криптографической хэш-функции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Хэш-функция должна быть стойкой к коллизиям, эффективно вычисляемой и иметь фиксированный размер вывода (рис. 2).</w:t>
      </w:r>
    </w:p>
    <w:p>
      <w:pPr>
        <w:pStyle w:val="CaptionedFigure"/>
      </w:pPr>
      <w:r>
        <w:drawing>
          <wp:inline>
            <wp:extent cx="3733800" cy="2266672"/>
            <wp:effectExtent b="0" l="0" r="0" t="0"/>
            <wp:docPr descr="Задание" title="" id="26" name="Picture"/>
            <a:graphic>
              <a:graphicData uri="http://schemas.openxmlformats.org/drawingml/2006/picture">
                <pic:pic>
                  <pic:nvPicPr>
                    <pic:cNvPr descr="image/3.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</w:t>
      </w:r>
    </w:p>
    <w:bookmarkEnd w:id="28"/>
    <w:bookmarkStart w:id="32" w:name="алгоритмы-цифровой-подпис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Алгоритмы цифровой подписи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RSA, ECDSA и ГОСТ Р 34.10-2012 — стандартные алгоритмы цифровой подписи (рис. 3).</w:t>
      </w:r>
    </w:p>
    <w:p>
      <w:pPr>
        <w:pStyle w:val="CaptionedFigure"/>
      </w:pPr>
      <w:r>
        <w:drawing>
          <wp:inline>
            <wp:extent cx="3733800" cy="2510658"/>
            <wp:effectExtent b="0" l="0" r="0" t="0"/>
            <wp:docPr descr="Задание" title="" id="30" name="Picture"/>
            <a:graphic>
              <a:graphicData uri="http://schemas.openxmlformats.org/drawingml/2006/picture">
                <pic:pic>
                  <pic:nvPicPr>
                    <pic:cNvPr descr="image/3.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</w:t>
      </w:r>
    </w:p>
    <w:bookmarkEnd w:id="32"/>
    <w:bookmarkStart w:id="36" w:name="код-аутентификации-сообще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Код аутентификации сообщения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Код аутентификации сообщения (MAC) относится к симметричным криптографическим примитивам (рис. 4).</w:t>
      </w:r>
    </w:p>
    <w:p>
      <w:pPr>
        <w:pStyle w:val="CaptionedFigure"/>
      </w:pPr>
      <w:r>
        <w:drawing>
          <wp:inline>
            <wp:extent cx="3733800" cy="2258374"/>
            <wp:effectExtent b="0" l="0" r="0" t="0"/>
            <wp:docPr descr="Задание" title="" id="34" name="Picture"/>
            <a:graphic>
              <a:graphicData uri="http://schemas.openxmlformats.org/drawingml/2006/picture">
                <pic:pic>
                  <pic:nvPicPr>
                    <pic:cNvPr descr="image/3.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</w:t>
      </w:r>
    </w:p>
    <w:bookmarkEnd w:id="36"/>
    <w:bookmarkStart w:id="40" w:name="обмен-ключами-диффи-хеллман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Обмен ключами Диффи-Хеллмана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Диффи-Хеллман — это асимметричный примитив для генерации общего секретного ключа (рис. 5).</w:t>
      </w:r>
    </w:p>
    <w:p>
      <w:pPr>
        <w:pStyle w:val="CaptionedFigure"/>
      </w:pPr>
      <w:r>
        <w:drawing>
          <wp:inline>
            <wp:extent cx="3733800" cy="2344404"/>
            <wp:effectExtent b="0" l="0" r="0" t="0"/>
            <wp:docPr descr="Задание" title="" id="38" name="Picture"/>
            <a:graphic>
              <a:graphicData uri="http://schemas.openxmlformats.org/drawingml/2006/picture">
                <pic:pic>
                  <pic:nvPicPr>
                    <pic:cNvPr descr="image/3.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</w:t>
      </w:r>
    </w:p>
    <w:bookmarkEnd w:id="40"/>
    <w:bookmarkStart w:id="44" w:name="протокол-электронной-цифровой-подпис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Протокол электронной цифровой подписи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ЭЦП использует протоколы с открытым ключом для обеспечения аутентичности и целостности (рис. 6).</w:t>
      </w:r>
    </w:p>
    <w:p>
      <w:pPr>
        <w:pStyle w:val="CaptionedFigure"/>
      </w:pPr>
      <w:r>
        <w:drawing>
          <wp:inline>
            <wp:extent cx="3733800" cy="1931483"/>
            <wp:effectExtent b="0" l="0" r="0" t="0"/>
            <wp:docPr descr="Задание" title="" id="42" name="Picture"/>
            <a:graphic>
              <a:graphicData uri="http://schemas.openxmlformats.org/drawingml/2006/picture">
                <pic:pic>
                  <pic:nvPicPr>
                    <pic:cNvPr descr="image/3.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</w:t>
      </w:r>
    </w:p>
    <w:bookmarkEnd w:id="44"/>
    <w:bookmarkStart w:id="48" w:name="верификация-электронной-подписи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Верификация электронной подписи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Для верификации подписи нужны сама подпись, открытый ключ и исходное сообщение (рис. 7).</w:t>
      </w:r>
    </w:p>
    <w:p>
      <w:pPr>
        <w:pStyle w:val="CaptionedFigure"/>
      </w:pPr>
      <w:r>
        <w:drawing>
          <wp:inline>
            <wp:extent cx="3733800" cy="2079369"/>
            <wp:effectExtent b="0" l="0" r="0" t="0"/>
            <wp:docPr descr="Задание" title="" id="46" name="Picture"/>
            <a:graphic>
              <a:graphicData uri="http://schemas.openxmlformats.org/drawingml/2006/picture">
                <pic:pic>
                  <pic:nvPicPr>
                    <pic:cNvPr descr="image/3.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</w:t>
      </w:r>
    </w:p>
    <w:bookmarkEnd w:id="48"/>
    <w:bookmarkStart w:id="52" w:name="что-не-обеспечивает-эцп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Что не обеспечивает ЭЦП?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Электронная подпись не гарантирует конфиденциальность данных (рис. 8).</w:t>
      </w:r>
    </w:p>
    <w:p>
      <w:pPr>
        <w:pStyle w:val="CaptionedFigure"/>
      </w:pPr>
      <w:r>
        <w:drawing>
          <wp:inline>
            <wp:extent cx="3733800" cy="2665582"/>
            <wp:effectExtent b="0" l="0" r="0" t="0"/>
            <wp:docPr descr="Задание" title="" id="50" name="Picture"/>
            <a:graphic>
              <a:graphicData uri="http://schemas.openxmlformats.org/drawingml/2006/picture">
                <pic:pic>
                  <pic:nvPicPr>
                    <pic:cNvPr descr="image/3.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</w:t>
      </w:r>
    </w:p>
    <w:bookmarkEnd w:id="52"/>
    <w:bookmarkStart w:id="56" w:name="сертификат-для-налоговой-отчетности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Сертификат для налоговой отчетности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Для ФНС требуется усиленная квалифицированная электронная подпись (рис. 9).</w:t>
      </w:r>
    </w:p>
    <w:p>
      <w:pPr>
        <w:pStyle w:val="CaptionedFigure"/>
      </w:pPr>
      <w:r>
        <w:drawing>
          <wp:inline>
            <wp:extent cx="3733800" cy="1532779"/>
            <wp:effectExtent b="0" l="0" r="0" t="0"/>
            <wp:docPr descr="Задание" title="" id="54" name="Picture"/>
            <a:graphic>
              <a:graphicData uri="http://schemas.openxmlformats.org/drawingml/2006/picture">
                <pic:pic>
                  <pic:nvPicPr>
                    <pic:cNvPr descr="image/3.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</w:t>
      </w:r>
    </w:p>
    <w:bookmarkEnd w:id="56"/>
    <w:bookmarkStart w:id="60" w:name="получение-квалифицированного-сертификата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Получение квалифицированного сертификата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Квалифицированные сертификаты выдаются удостоверяющими центрами (рис. 10).</w:t>
      </w:r>
    </w:p>
    <w:p>
      <w:pPr>
        <w:pStyle w:val="CaptionedFigure"/>
      </w:pPr>
      <w:r>
        <w:drawing>
          <wp:inline>
            <wp:extent cx="3733800" cy="1467756"/>
            <wp:effectExtent b="0" l="0" r="0" t="0"/>
            <wp:docPr descr="Задание" title="" id="58" name="Picture"/>
            <a:graphic>
              <a:graphicData uri="http://schemas.openxmlformats.org/drawingml/2006/picture">
                <pic:pic>
                  <pic:nvPicPr>
                    <pic:cNvPr descr="image/3.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7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</w:t>
      </w:r>
    </w:p>
    <w:bookmarkEnd w:id="60"/>
    <w:bookmarkStart w:id="64" w:name="платежные-системы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Платежные системы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MasterCard и MИP являются примерами платежных систем (рис. 11).</w:t>
      </w:r>
    </w:p>
    <w:p>
      <w:pPr>
        <w:pStyle w:val="CaptionedFigure"/>
      </w:pPr>
      <w:r>
        <w:drawing>
          <wp:inline>
            <wp:extent cx="3733800" cy="2515663"/>
            <wp:effectExtent b="0" l="0" r="0" t="0"/>
            <wp:docPr descr="Задание" title="" id="62" name="Picture"/>
            <a:graphic>
              <a:graphicData uri="http://schemas.openxmlformats.org/drawingml/2006/picture">
                <pic:pic>
                  <pic:nvPicPr>
                    <pic:cNvPr descr="image/3.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</w:t>
      </w:r>
    </w:p>
    <w:bookmarkEnd w:id="64"/>
    <w:bookmarkStart w:id="68" w:name="многофакторная-аутентификация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Многофакторная аутентификация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Примеры: пароль + SMS-код или отпечаток пальца + SMS (рис. 12).</w:t>
      </w:r>
    </w:p>
    <w:p>
      <w:pPr>
        <w:pStyle w:val="CaptionedFigure"/>
      </w:pPr>
      <w:r>
        <w:drawing>
          <wp:inline>
            <wp:extent cx="3733800" cy="2375807"/>
            <wp:effectExtent b="0" l="0" r="0" t="0"/>
            <wp:docPr descr="Задание" title="" id="66" name="Picture"/>
            <a:graphic>
              <a:graphicData uri="http://schemas.openxmlformats.org/drawingml/2006/picture">
                <pic:pic>
                  <pic:nvPicPr>
                    <pic:cNvPr descr="image/3.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5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</w:t>
      </w:r>
    </w:p>
    <w:bookmarkEnd w:id="68"/>
    <w:bookmarkStart w:id="72" w:name="аутентификация-при-онлайн-платежах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Аутентификация при онлайн-платежах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Банки используют многофакторную аутентификацию для подтверждения операций (рис. 13).</w:t>
      </w:r>
    </w:p>
    <w:p>
      <w:pPr>
        <w:pStyle w:val="CaptionedFigure"/>
      </w:pPr>
      <w:r>
        <w:drawing>
          <wp:inline>
            <wp:extent cx="3733800" cy="1960478"/>
            <wp:effectExtent b="0" l="0" r="0" t="0"/>
            <wp:docPr descr="Задание" title="" id="70" name="Picture"/>
            <a:graphic>
              <a:graphicData uri="http://schemas.openxmlformats.org/drawingml/2006/picture">
                <pic:pic>
                  <pic:nvPicPr>
                    <pic:cNvPr descr="image/3.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</w:t>
      </w:r>
    </w:p>
    <w:bookmarkEnd w:id="72"/>
    <w:bookmarkStart w:id="76" w:name="свойство-хэш-функции-в-proof-of-work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Свойство хэш-функции в Proof-of-Work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PoW критична сложность нахождения прообраза хэш-функции (рис. 14).</w:t>
      </w:r>
    </w:p>
    <w:p>
      <w:pPr>
        <w:pStyle w:val="CaptionedFigure"/>
      </w:pPr>
      <w:r>
        <w:drawing>
          <wp:inline>
            <wp:extent cx="3733800" cy="1627280"/>
            <wp:effectExtent b="0" l="0" r="0" t="0"/>
            <wp:docPr descr="Задание" title="" id="74" name="Picture"/>
            <a:graphic>
              <a:graphicData uri="http://schemas.openxmlformats.org/drawingml/2006/picture">
                <pic:pic>
                  <pic:nvPicPr>
                    <pic:cNvPr descr="image/3.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</w:t>
      </w:r>
    </w:p>
    <w:bookmarkEnd w:id="76"/>
    <w:bookmarkStart w:id="80" w:name="свойства-консенсуса-в-блокчейне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Свойства консенсуса в блокчейне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Консенсус обеспечивает живучесть, открытость и неизменность данных (рис. 15).</w:t>
      </w:r>
    </w:p>
    <w:p>
      <w:pPr>
        <w:pStyle w:val="CaptionedFigure"/>
      </w:pPr>
      <w:r>
        <w:drawing>
          <wp:inline>
            <wp:extent cx="3733800" cy="2580590"/>
            <wp:effectExtent b="0" l="0" r="0" t="0"/>
            <wp:docPr descr="Задание" title="" id="78" name="Picture"/>
            <a:graphic>
              <a:graphicData uri="http://schemas.openxmlformats.org/drawingml/2006/picture">
                <pic:pic>
                  <pic:nvPicPr>
                    <pic:cNvPr descr="image/3.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0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</w:t>
      </w:r>
    </w:p>
    <w:bookmarkEnd w:id="80"/>
    <w:bookmarkStart w:id="84" w:name="ключи-участников-блокчейна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Ключи участников блокчейна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Участники хранят секретные ключи для цифровой подписи транзакций (рис. 16).</w:t>
      </w:r>
    </w:p>
    <w:p>
      <w:pPr>
        <w:pStyle w:val="CaptionedFigure"/>
      </w:pPr>
      <w:r>
        <w:drawing>
          <wp:inline>
            <wp:extent cx="3733800" cy="2062826"/>
            <wp:effectExtent b="0" l="0" r="0" t="0"/>
            <wp:docPr descr="Задание" title="" id="82" name="Picture"/>
            <a:graphic>
              <a:graphicData uri="http://schemas.openxmlformats.org/drawingml/2006/picture">
                <pic:pic>
                  <pic:nvPicPr>
                    <pic:cNvPr descr="image/3.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</w:t>
      </w:r>
    </w:p>
    <w:bookmarkEnd w:id="84"/>
    <w:bookmarkEnd w:id="85"/>
    <w:bookmarkStart w:id="89" w:name="итог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</w:t>
      </w:r>
    </w:p>
    <w:p>
      <w:pPr>
        <w:pStyle w:val="FirstParagraph"/>
      </w:pPr>
      <w:r>
        <w:t xml:space="preserve">Прошла весь курс. Вот доказательство (рис. 17).</w:t>
      </w:r>
    </w:p>
    <w:p>
      <w:pPr>
        <w:pStyle w:val="CaptionedFigure"/>
      </w:pPr>
      <w:r>
        <w:drawing>
          <wp:inline>
            <wp:extent cx="3729317" cy="2103717"/>
            <wp:effectExtent b="0" l="0" r="0" t="0"/>
            <wp:docPr descr="Итог: все прошла" title="" id="87" name="Picture"/>
            <a:graphic>
              <a:graphicData uri="http://schemas.openxmlformats.org/drawingml/2006/picture">
                <pic:pic>
                  <pic:nvPicPr>
                    <pic:cNvPr descr="image/3.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17" cy="210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Итог: все прошла</w:t>
      </w:r>
    </w:p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прошла 3 часть курса. В итоге прошла весь курс.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внешнему курсу</dc:title>
  <dc:creator>Дагделен Зейнап Реджеповна</dc:creator>
  <dc:language>ru-RU</dc:language>
  <cp:keywords/>
  <dcterms:created xsi:type="dcterms:W3CDTF">2025-05-10T15:47:31Z</dcterms:created>
  <dcterms:modified xsi:type="dcterms:W3CDTF">2025-05-10T15:47:31Z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4. Криптография на практике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