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CD2B2F" w14:paraId="6DB7C7E7" w14:textId="77777777" w:rsidTr="00CD2B2F">
        <w:tc>
          <w:tcPr>
            <w:tcW w:w="9350" w:type="dxa"/>
          </w:tcPr>
          <w:p w14:paraId="15B8CDB1" w14:textId="3854CF6A" w:rsidR="00CD2B2F" w:rsidRDefault="00CD2B2F">
            <w:r>
              <w:t xml:space="preserve">Title </w:t>
            </w:r>
            <w:r w:rsidR="00D67204">
              <w:t xml:space="preserve">:  </w:t>
            </w:r>
            <w:r w:rsidR="0014777B">
              <w:t>MPE/MDI/Parsing Case Work Training</w:t>
            </w:r>
            <w:r w:rsidR="00D67204">
              <w:t xml:space="preserve">: </w:t>
            </w:r>
            <w:r w:rsidR="0014777B">
              <w:t xml:space="preserve">Using the Log Analyzer Tool for SCMPE Analysis. </w:t>
            </w:r>
            <w:r w:rsidR="00D67204">
              <w:t xml:space="preserve"> </w:t>
            </w:r>
          </w:p>
        </w:tc>
      </w:tr>
      <w:tr w:rsidR="00CD2B2F" w14:paraId="59167B49" w14:textId="77777777" w:rsidTr="00CD2B2F">
        <w:tc>
          <w:tcPr>
            <w:tcW w:w="9350" w:type="dxa"/>
          </w:tcPr>
          <w:p w14:paraId="3E7CE97F" w14:textId="068A750B" w:rsidR="00CD2B2F" w:rsidRDefault="00CD2B2F">
            <w:r>
              <w:t xml:space="preserve">URL Name </w:t>
            </w:r>
          </w:p>
        </w:tc>
      </w:tr>
      <w:tr w:rsidR="00CD2B2F" w14:paraId="4DC89238" w14:textId="77777777" w:rsidTr="00CD2B2F">
        <w:tc>
          <w:tcPr>
            <w:tcW w:w="9350" w:type="dxa"/>
          </w:tcPr>
          <w:p w14:paraId="7B081E62" w14:textId="2C9CD830" w:rsidR="0014777B" w:rsidRDefault="0014777B" w:rsidP="00620FB2">
            <w:r>
              <w:t>Identification: This article is written as part of a group</w:t>
            </w:r>
            <w:r w:rsidR="002D79A1">
              <w:t xml:space="preserve"> of Knowledge Articles titled “</w:t>
            </w:r>
            <w:r w:rsidR="00347CE7" w:rsidRPr="00347CE7">
              <w:t xml:space="preserve">Parsing Cases General Training </w:t>
            </w:r>
            <w:r w:rsidR="002D79A1">
              <w:t xml:space="preserve">”. In a few of those articles there is reference to the Log Analyzer Tool and this article is designed to show you </w:t>
            </w:r>
            <w:r w:rsidR="00347CE7">
              <w:t xml:space="preserve">how to leverage this tool in respect to parsing. </w:t>
            </w:r>
            <w:r w:rsidR="002D79A1">
              <w:t xml:space="preserve"> </w:t>
            </w:r>
          </w:p>
          <w:p w14:paraId="0A1E6D23" w14:textId="77777777" w:rsidR="002D79A1" w:rsidRDefault="002D79A1" w:rsidP="00620FB2"/>
          <w:p w14:paraId="78A889F3" w14:textId="667D1F45" w:rsidR="002D79A1" w:rsidRDefault="002D79A1" w:rsidP="00620FB2">
            <w:r>
              <w:t xml:space="preserve">Basic Information: Log Analyzer is </w:t>
            </w:r>
            <w:r w:rsidR="008540B7">
              <w:t xml:space="preserve">by navigating to the following address. Note. You must be on the VPN in order to obtain access. </w:t>
            </w:r>
          </w:p>
          <w:p w14:paraId="33A8E399" w14:textId="77777777" w:rsidR="008540B7" w:rsidRDefault="008540B7" w:rsidP="00620FB2"/>
          <w:p w14:paraId="62291FE9" w14:textId="41522EA2" w:rsidR="008540B7" w:rsidRDefault="00AB582B" w:rsidP="00620FB2">
            <w:hyperlink r:id="rId5" w:history="1">
              <w:r w:rsidR="008540B7" w:rsidRPr="00B92361">
                <w:rPr>
                  <w:rStyle w:val="Hyperlink"/>
                </w:rPr>
                <w:t>http://10.5.0.233/logAnalyzer.php</w:t>
              </w:r>
            </w:hyperlink>
          </w:p>
          <w:p w14:paraId="6C7C1177" w14:textId="77777777" w:rsidR="008540B7" w:rsidRDefault="008540B7" w:rsidP="00620FB2"/>
          <w:p w14:paraId="4E5BBB74" w14:textId="38D972E8" w:rsidR="008540B7" w:rsidRDefault="008540B7" w:rsidP="00620FB2">
            <w:r>
              <w:t xml:space="preserve">If </w:t>
            </w:r>
            <w:r w:rsidR="006D46C1">
              <w:t>successful,</w:t>
            </w:r>
            <w:r>
              <w:t xml:space="preserve"> you should be looking at something like Screenshot 1 </w:t>
            </w:r>
          </w:p>
          <w:p w14:paraId="5F6AD162" w14:textId="77777777" w:rsidR="007E27DE" w:rsidRDefault="007E27DE" w:rsidP="00620FB2"/>
          <w:p w14:paraId="41F46070" w14:textId="1FEF8654" w:rsidR="007E27DE" w:rsidRPr="007E27DE" w:rsidRDefault="007E27DE" w:rsidP="00620FB2">
            <w:pPr>
              <w:rPr>
                <w:b/>
                <w:bCs/>
              </w:rPr>
            </w:pPr>
            <w:r w:rsidRPr="007E27DE">
              <w:rPr>
                <w:b/>
                <w:bCs/>
              </w:rPr>
              <w:t>Screenshot 1</w:t>
            </w:r>
          </w:p>
          <w:p w14:paraId="2CFB5A60" w14:textId="4301034E" w:rsidR="007E27DE" w:rsidRDefault="007E27DE" w:rsidP="00347CE7">
            <w:pPr>
              <w:jc w:val="center"/>
            </w:pPr>
            <w:r>
              <w:rPr>
                <w:noProof/>
              </w:rPr>
              <w:drawing>
                <wp:inline distT="0" distB="0" distL="0" distR="0" wp14:anchorId="42874FD3" wp14:editId="0DE9E06D">
                  <wp:extent cx="4581525" cy="1855907"/>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rotWithShape="1">
                          <a:blip r:embed="rId6" cstate="print">
                            <a:extLst>
                              <a:ext uri="{28A0092B-C50C-407E-A947-70E740481C1C}">
                                <a14:useLocalDpi xmlns:a14="http://schemas.microsoft.com/office/drawing/2010/main" val="0"/>
                              </a:ext>
                            </a:extLst>
                          </a:blip>
                          <a:srcRect b="25215"/>
                          <a:stretch/>
                        </pic:blipFill>
                        <pic:spPr bwMode="auto">
                          <a:xfrm>
                            <a:off x="0" y="0"/>
                            <a:ext cx="4597118" cy="1862223"/>
                          </a:xfrm>
                          <a:prstGeom prst="rect">
                            <a:avLst/>
                          </a:prstGeom>
                          <a:ln>
                            <a:noFill/>
                          </a:ln>
                          <a:extLst>
                            <a:ext uri="{53640926-AAD7-44D8-BBD7-CCE9431645EC}">
                              <a14:shadowObscured xmlns:a14="http://schemas.microsoft.com/office/drawing/2010/main"/>
                            </a:ext>
                          </a:extLst>
                        </pic:spPr>
                      </pic:pic>
                    </a:graphicData>
                  </a:graphic>
                </wp:inline>
              </w:drawing>
            </w:r>
          </w:p>
          <w:p w14:paraId="18E8A96B" w14:textId="5C558A06" w:rsidR="007E27DE" w:rsidRDefault="007E27DE" w:rsidP="00620FB2"/>
          <w:p w14:paraId="033FDB32" w14:textId="683D1F77" w:rsidR="006E5C3F" w:rsidRDefault="007E27DE" w:rsidP="00620FB2">
            <w:pPr>
              <w:rPr>
                <w:b/>
                <w:bCs/>
              </w:rPr>
            </w:pPr>
            <w:r>
              <w:t xml:space="preserve">Your first step on this screen will be to upload your scmpe.log that you should have collected from the customer. </w:t>
            </w:r>
            <w:r w:rsidR="006E5C3F">
              <w:t xml:space="preserve">Notice in Screenshot 1 </w:t>
            </w:r>
            <w:r w:rsidR="006E5C3F" w:rsidRPr="00347CE7">
              <w:rPr>
                <w:i/>
                <w:iCs/>
              </w:rPr>
              <w:t>if</w:t>
            </w:r>
            <w:r w:rsidR="00986CFA" w:rsidRPr="00347CE7">
              <w:rPr>
                <w:i/>
                <w:iCs/>
              </w:rPr>
              <w:t xml:space="preserve"> your file name is anything other than scmpe.log as pictured below</w:t>
            </w:r>
            <w:r w:rsidR="00986CFA">
              <w:t xml:space="preserve">: </w:t>
            </w:r>
            <w:r w:rsidR="00986CFA" w:rsidRPr="006E5C3F">
              <w:rPr>
                <w:b/>
                <w:bCs/>
                <w:u w:val="single"/>
              </w:rPr>
              <w:t>it won’t work</w:t>
            </w:r>
            <w:r w:rsidR="00986CFA">
              <w:t xml:space="preserve">. At times with downloading and such the file becomes scmpe(1) or </w:t>
            </w:r>
            <w:proofErr w:type="spellStart"/>
            <w:r w:rsidR="00986CFA">
              <w:t>scmpe_insertname</w:t>
            </w:r>
            <w:proofErr w:type="spellEnd"/>
            <w:r w:rsidR="00986CFA">
              <w:t xml:space="preserve">. Anything other than </w:t>
            </w:r>
            <w:r w:rsidR="00986CFA" w:rsidRPr="00347CE7">
              <w:rPr>
                <w:b/>
                <w:bCs/>
                <w:u w:val="single"/>
              </w:rPr>
              <w:t>scmpe.log</w:t>
            </w:r>
            <w:r w:rsidR="00986CFA">
              <w:t xml:space="preserve"> will appear to load and then do nothing. </w:t>
            </w:r>
            <w:r w:rsidR="006E5C3F">
              <w:t xml:space="preserve">See in screenshot 2 where this has been corrected. This will process and you’ll see it snap into place upon clicking “upload log”. </w:t>
            </w:r>
          </w:p>
          <w:p w14:paraId="74B80246" w14:textId="194B927F" w:rsidR="00986CFA" w:rsidRPr="00986CFA" w:rsidRDefault="006E5C3F" w:rsidP="00620FB2">
            <w:pPr>
              <w:rPr>
                <w:b/>
                <w:bCs/>
              </w:rPr>
            </w:pPr>
            <w:r>
              <w:rPr>
                <w:b/>
                <w:bCs/>
              </w:rPr>
              <w:t>S</w:t>
            </w:r>
            <w:r w:rsidR="00986CFA" w:rsidRPr="007E27DE">
              <w:rPr>
                <w:b/>
                <w:bCs/>
              </w:rPr>
              <w:t xml:space="preserve">creenshot </w:t>
            </w:r>
            <w:r w:rsidR="00986CFA">
              <w:rPr>
                <w:b/>
                <w:bCs/>
              </w:rPr>
              <w:t>2</w:t>
            </w:r>
          </w:p>
          <w:p w14:paraId="6A8212FF" w14:textId="2BDF8DA9" w:rsidR="00986CFA" w:rsidRDefault="00986CFA" w:rsidP="00347CE7">
            <w:pPr>
              <w:jc w:val="center"/>
            </w:pPr>
            <w:r>
              <w:rPr>
                <w:noProof/>
              </w:rPr>
              <w:drawing>
                <wp:inline distT="0" distB="0" distL="0" distR="0" wp14:anchorId="3A4A47F7" wp14:editId="046D732C">
                  <wp:extent cx="5095875" cy="2482605"/>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16341" cy="2492576"/>
                          </a:xfrm>
                          <a:prstGeom prst="rect">
                            <a:avLst/>
                          </a:prstGeom>
                        </pic:spPr>
                      </pic:pic>
                    </a:graphicData>
                  </a:graphic>
                </wp:inline>
              </w:drawing>
            </w:r>
          </w:p>
          <w:p w14:paraId="56D8F0B0" w14:textId="43C8C476" w:rsidR="008540B7" w:rsidRDefault="008540B7" w:rsidP="00620FB2"/>
          <w:p w14:paraId="62E294DC" w14:textId="5EC7B999" w:rsidR="006E5C3F" w:rsidRDefault="006E5C3F" w:rsidP="00620FB2">
            <w:r>
              <w:lastRenderedPageBreak/>
              <w:t xml:space="preserve">Once you have your results loaded they should looking something like Screenshot 3. Following that you will see screenshot 4 which will be the basis for the rest of this knowledge Article.  </w:t>
            </w:r>
          </w:p>
          <w:p w14:paraId="2F2813E0" w14:textId="2F8F446E" w:rsidR="00347CE7" w:rsidRDefault="00347CE7" w:rsidP="00620FB2"/>
          <w:p w14:paraId="2640F173" w14:textId="247B992D" w:rsidR="00347CE7" w:rsidRDefault="00347CE7" w:rsidP="00620FB2">
            <w:r>
              <w:rPr>
                <w:b/>
                <w:bCs/>
              </w:rPr>
              <w:t>S</w:t>
            </w:r>
            <w:r w:rsidRPr="007E27DE">
              <w:rPr>
                <w:b/>
                <w:bCs/>
              </w:rPr>
              <w:t xml:space="preserve">creenshot </w:t>
            </w:r>
            <w:r>
              <w:rPr>
                <w:b/>
                <w:bCs/>
              </w:rPr>
              <w:t>3</w:t>
            </w:r>
          </w:p>
          <w:p w14:paraId="1EFC4BA5" w14:textId="7FE89615" w:rsidR="006E5C3F" w:rsidRDefault="00347CE7" w:rsidP="00620FB2">
            <w:r>
              <w:rPr>
                <w:noProof/>
              </w:rPr>
              <w:drawing>
                <wp:inline distT="0" distB="0" distL="0" distR="0" wp14:anchorId="18D293F3" wp14:editId="61828F8B">
                  <wp:extent cx="5323205" cy="5467350"/>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b="27882"/>
                          <a:stretch/>
                        </pic:blipFill>
                        <pic:spPr bwMode="auto">
                          <a:xfrm>
                            <a:off x="0" y="0"/>
                            <a:ext cx="5327072" cy="5471322"/>
                          </a:xfrm>
                          <a:prstGeom prst="rect">
                            <a:avLst/>
                          </a:prstGeom>
                          <a:ln>
                            <a:noFill/>
                          </a:ln>
                          <a:extLst>
                            <a:ext uri="{53640926-AAD7-44D8-BBD7-CCE9431645EC}">
                              <a14:shadowObscured xmlns:a14="http://schemas.microsoft.com/office/drawing/2010/main"/>
                            </a:ext>
                          </a:extLst>
                        </pic:spPr>
                      </pic:pic>
                    </a:graphicData>
                  </a:graphic>
                </wp:inline>
              </w:drawing>
            </w:r>
          </w:p>
          <w:p w14:paraId="12E63036" w14:textId="77777777" w:rsidR="006E5C3F" w:rsidRDefault="006E5C3F" w:rsidP="00620FB2"/>
          <w:p w14:paraId="1E568BA1" w14:textId="77777777" w:rsidR="006E5C3F" w:rsidRDefault="006E5C3F" w:rsidP="00620FB2"/>
          <w:p w14:paraId="2E8A7E8B" w14:textId="12255CE3" w:rsidR="00E55097" w:rsidRDefault="00E55097" w:rsidP="00620FB2"/>
          <w:p w14:paraId="3E692165" w14:textId="6232EA9E" w:rsidR="00E55097" w:rsidRDefault="00E55097" w:rsidP="00620FB2"/>
          <w:p w14:paraId="565FA1D0" w14:textId="2DCF906A" w:rsidR="00E55097" w:rsidRDefault="00E55097" w:rsidP="00620FB2"/>
          <w:p w14:paraId="0EE402E9" w14:textId="5C50544C" w:rsidR="00E55097" w:rsidRDefault="00E55097" w:rsidP="00620FB2"/>
          <w:p w14:paraId="10BED588" w14:textId="041287CB" w:rsidR="00E55097" w:rsidRDefault="00E55097" w:rsidP="00620FB2"/>
          <w:p w14:paraId="55F031DD" w14:textId="7AB5D12F" w:rsidR="00E55097" w:rsidRDefault="00E55097" w:rsidP="00620FB2"/>
          <w:p w14:paraId="2C26F97A" w14:textId="6E3D8B78" w:rsidR="00E55097" w:rsidRDefault="00E55097" w:rsidP="00620FB2"/>
          <w:p w14:paraId="4A1C65BE" w14:textId="3E77FA46" w:rsidR="00E55097" w:rsidRDefault="00E55097" w:rsidP="00620FB2"/>
          <w:p w14:paraId="1BC91783" w14:textId="0C97CC64" w:rsidR="00E55097" w:rsidRDefault="00E55097" w:rsidP="00620FB2"/>
          <w:p w14:paraId="3688DCF7" w14:textId="3B91B1E5" w:rsidR="00E55097" w:rsidRDefault="00E55097" w:rsidP="00620FB2"/>
          <w:p w14:paraId="6F7E1F7B" w14:textId="5F848526" w:rsidR="006E5C3F" w:rsidRDefault="006E5C3F" w:rsidP="006E5C3F">
            <w:pPr>
              <w:rPr>
                <w:b/>
                <w:bCs/>
              </w:rPr>
            </w:pPr>
            <w:r>
              <w:rPr>
                <w:b/>
                <w:bCs/>
              </w:rPr>
              <w:lastRenderedPageBreak/>
              <w:t>S</w:t>
            </w:r>
            <w:r w:rsidRPr="007E27DE">
              <w:rPr>
                <w:b/>
                <w:bCs/>
              </w:rPr>
              <w:t xml:space="preserve">creenshot </w:t>
            </w:r>
            <w:r>
              <w:rPr>
                <w:b/>
                <w:bCs/>
              </w:rPr>
              <w:t>4</w:t>
            </w:r>
          </w:p>
          <w:p w14:paraId="79F4FEF5" w14:textId="00100D5A" w:rsidR="006E5C3F" w:rsidRPr="00986CFA" w:rsidRDefault="006E5C3F" w:rsidP="006E5C3F">
            <w:pPr>
              <w:rPr>
                <w:b/>
                <w:bCs/>
              </w:rPr>
            </w:pPr>
            <w:r>
              <w:rPr>
                <w:b/>
                <w:bCs/>
                <w:noProof/>
              </w:rPr>
              <w:drawing>
                <wp:inline distT="0" distB="0" distL="0" distR="0" wp14:anchorId="02DCEFB2" wp14:editId="4183D406">
                  <wp:extent cx="5943600" cy="2680970"/>
                  <wp:effectExtent l="0" t="0" r="0" b="508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inline>
              </w:drawing>
            </w:r>
          </w:p>
          <w:p w14:paraId="6807F734" w14:textId="77777777" w:rsidR="00986CFA" w:rsidRDefault="00986CFA" w:rsidP="00620FB2"/>
          <w:p w14:paraId="2FC5363E" w14:textId="7C454528" w:rsidR="00AC6478" w:rsidRDefault="006E5C3F" w:rsidP="00620FB2">
            <w:r>
              <w:t>This is the final output that will be helpful to attach to cases using the Log</w:t>
            </w:r>
            <w:r w:rsidR="00F755EC">
              <w:t xml:space="preserve"> </w:t>
            </w:r>
            <w:r>
              <w:t>Analyzer tool.</w:t>
            </w:r>
            <w:r w:rsidR="00F755EC">
              <w:t xml:space="preserve"> You can see that the Log Analyzer breaks apart the 2052 warnings in the scmpe.log into separate sections and quantifies them. Seeing the scmpe.log in this format can often be just as</w:t>
            </w:r>
            <w:r w:rsidR="005F04EA">
              <w:t xml:space="preserve"> (if not more)</w:t>
            </w:r>
            <w:r w:rsidR="00F755EC">
              <w:t xml:space="preserve"> informative as reading the log itself. You can see that the columns divide it out</w:t>
            </w:r>
            <w:r w:rsidR="00AC6478">
              <w:t xml:space="preserve"> into: </w:t>
            </w:r>
          </w:p>
          <w:p w14:paraId="3FC02A0A" w14:textId="4A19A9DC" w:rsidR="00AC6478" w:rsidRDefault="00AC6478" w:rsidP="00620FB2"/>
          <w:p w14:paraId="559629CC" w14:textId="6E36D9CA" w:rsidR="00AC6478" w:rsidRDefault="00AC6478" w:rsidP="00620FB2">
            <w:r w:rsidRPr="00666476">
              <w:rPr>
                <w:b/>
                <w:bCs/>
              </w:rPr>
              <w:t>MsgSourceID TimeOuts –</w:t>
            </w:r>
            <w:r>
              <w:t xml:space="preserve"> </w:t>
            </w:r>
            <w:r w:rsidR="00231705">
              <w:t xml:space="preserve">This should align with </w:t>
            </w:r>
            <w:r w:rsidR="00BA3D4F">
              <w:t>Log Source ID on the Log Sources Tab in Client Console.</w:t>
            </w:r>
          </w:p>
          <w:p w14:paraId="494DFB6A" w14:textId="77777777" w:rsidR="00666476" w:rsidRDefault="00666476" w:rsidP="00620FB2"/>
          <w:p w14:paraId="496756BB" w14:textId="13F6AA9B" w:rsidR="00AC6478" w:rsidRDefault="00AC6478" w:rsidP="00620FB2">
            <w:r w:rsidRPr="00666476">
              <w:rPr>
                <w:b/>
                <w:bCs/>
              </w:rPr>
              <w:t>MPERuleRegexIDTime-outs</w:t>
            </w:r>
            <w:r>
              <w:t xml:space="preserve"> – </w:t>
            </w:r>
            <w:r w:rsidR="006542AC">
              <w:t xml:space="preserve">This will align with a specific MPERuleRegex found in MPE Rule Builder by clicking on the yellow folder. Every policy is made up of MPE Rules which each have MPERuleRegexID. </w:t>
            </w:r>
          </w:p>
          <w:p w14:paraId="78FBC80F" w14:textId="77777777" w:rsidR="00666476" w:rsidRDefault="00666476" w:rsidP="00620FB2"/>
          <w:p w14:paraId="5DB5EF20" w14:textId="5DEA1A38" w:rsidR="00AC6478" w:rsidRDefault="00AC6478" w:rsidP="00620FB2">
            <w:r w:rsidRPr="00666476">
              <w:rPr>
                <w:b/>
                <w:bCs/>
              </w:rPr>
              <w:t>Base MPERuleID Time-outs –</w:t>
            </w:r>
            <w:r>
              <w:t xml:space="preserve"> </w:t>
            </w:r>
            <w:r w:rsidR="002A1DE0">
              <w:t xml:space="preserve">Many times you will see these align with </w:t>
            </w:r>
            <w:r w:rsidR="00545A11">
              <w:t>the MPERuleRegexID and the biggest difference is that an MPERuleID “can” be a sub rule.</w:t>
            </w:r>
          </w:p>
          <w:p w14:paraId="78FCC3F6" w14:textId="77777777" w:rsidR="00666476" w:rsidRDefault="00666476" w:rsidP="00620FB2"/>
          <w:p w14:paraId="1F48F801" w14:textId="77777777" w:rsidR="00666476" w:rsidRDefault="00AC6478" w:rsidP="00620FB2">
            <w:r w:rsidRPr="00666476">
              <w:rPr>
                <w:b/>
                <w:bCs/>
              </w:rPr>
              <w:t>MsgSourceTypeID Time-outs –</w:t>
            </w:r>
            <w:r w:rsidR="001A3490">
              <w:t xml:space="preserve"> </w:t>
            </w:r>
            <w:r w:rsidR="00666476">
              <w:t>This links to a table in the EMDB on SQL where every type of log that LogRhythm can parse is listed. If you can’t identify the type of message it is then you can reference this table and at least see what the machine took it to be.</w:t>
            </w:r>
          </w:p>
          <w:p w14:paraId="5178B3DC" w14:textId="77777777" w:rsidR="00666476" w:rsidRDefault="00666476" w:rsidP="00620FB2"/>
          <w:p w14:paraId="32EB1922" w14:textId="4E1564C4" w:rsidR="00AC6478" w:rsidRPr="00666476" w:rsidRDefault="00666476" w:rsidP="00620FB2">
            <w:pPr>
              <w:rPr>
                <w:b/>
                <w:bCs/>
                <w:u w:val="single"/>
              </w:rPr>
            </w:pPr>
            <w:r w:rsidRPr="00666476">
              <w:rPr>
                <w:b/>
                <w:bCs/>
                <w:u w:val="single"/>
              </w:rPr>
              <w:t xml:space="preserve">What to do with this information?  </w:t>
            </w:r>
          </w:p>
          <w:p w14:paraId="1962EE99" w14:textId="61854103" w:rsidR="00D9452D" w:rsidRDefault="00D9452D" w:rsidP="00620FB2"/>
          <w:p w14:paraId="229BD5B9" w14:textId="29670F86" w:rsidR="00D9452D" w:rsidRDefault="00D9452D" w:rsidP="00620FB2">
            <w:r>
              <w:t>The most important thing to gather from this screen is a numeric of how many timeouts are occuring</w:t>
            </w:r>
            <w:r w:rsidR="00E55097">
              <w:t xml:space="preserve"> and where. </w:t>
            </w:r>
            <w:r>
              <w:t xml:space="preserve">Start by looking at the </w:t>
            </w:r>
            <w:r w:rsidRPr="00666476">
              <w:rPr>
                <w:b/>
                <w:bCs/>
              </w:rPr>
              <w:t>MPERuleRegexIDTime-outs</w:t>
            </w:r>
            <w:r>
              <w:rPr>
                <w:b/>
                <w:bCs/>
              </w:rPr>
              <w:t xml:space="preserve"> </w:t>
            </w:r>
            <w:r>
              <w:t xml:space="preserve">column. In screenshot 4 you can see that the top </w:t>
            </w:r>
            <w:r w:rsidRPr="00666476">
              <w:rPr>
                <w:b/>
                <w:bCs/>
              </w:rPr>
              <w:t>MPERuleRegexIDTime-outs</w:t>
            </w:r>
            <w:r>
              <w:rPr>
                <w:b/>
                <w:bCs/>
              </w:rPr>
              <w:t xml:space="preserve"> </w:t>
            </w:r>
            <w:r>
              <w:t>are:</w:t>
            </w:r>
          </w:p>
          <w:tbl>
            <w:tblPr>
              <w:tblStyle w:val="TableGrid"/>
              <w:tblW w:w="0" w:type="auto"/>
              <w:tblLook w:val="04A0" w:firstRow="1" w:lastRow="0" w:firstColumn="1" w:lastColumn="0" w:noHBand="0" w:noVBand="1"/>
            </w:tblPr>
            <w:tblGrid>
              <w:gridCol w:w="2186"/>
              <w:gridCol w:w="2767"/>
              <w:gridCol w:w="2184"/>
              <w:gridCol w:w="1987"/>
            </w:tblGrid>
            <w:tr w:rsidR="0048476C" w14:paraId="60702EDD" w14:textId="04A9F26D" w:rsidTr="0048476C">
              <w:tc>
                <w:tcPr>
                  <w:tcW w:w="2186" w:type="dxa"/>
                </w:tcPr>
                <w:p w14:paraId="3A380EFA" w14:textId="0A3002FE" w:rsidR="0048476C" w:rsidRPr="0048476C" w:rsidRDefault="0048476C" w:rsidP="0048476C">
                  <w:pPr>
                    <w:jc w:val="center"/>
                    <w:rPr>
                      <w:b/>
                      <w:bCs/>
                    </w:rPr>
                  </w:pPr>
                  <w:r w:rsidRPr="0048476C">
                    <w:rPr>
                      <w:b/>
                      <w:bCs/>
                    </w:rPr>
                    <w:t>Count</w:t>
                  </w:r>
                </w:p>
              </w:tc>
              <w:tc>
                <w:tcPr>
                  <w:tcW w:w="2767" w:type="dxa"/>
                </w:tcPr>
                <w:p w14:paraId="13A36EAE" w14:textId="6EEF80D2" w:rsidR="0048476C" w:rsidRPr="0048476C" w:rsidRDefault="0048476C" w:rsidP="0048476C">
                  <w:pPr>
                    <w:jc w:val="center"/>
                    <w:rPr>
                      <w:b/>
                      <w:bCs/>
                    </w:rPr>
                  </w:pPr>
                  <w:r w:rsidRPr="0048476C">
                    <w:rPr>
                      <w:b/>
                      <w:bCs/>
                    </w:rPr>
                    <w:t>MPERuleRegexIDTime-outs</w:t>
                  </w:r>
                </w:p>
              </w:tc>
              <w:tc>
                <w:tcPr>
                  <w:tcW w:w="2184" w:type="dxa"/>
                </w:tcPr>
                <w:p w14:paraId="7FD9C53A" w14:textId="0F8CC378" w:rsidR="0048476C" w:rsidRPr="0048476C" w:rsidRDefault="0048476C" w:rsidP="0048476C">
                  <w:pPr>
                    <w:jc w:val="center"/>
                    <w:rPr>
                      <w:b/>
                      <w:bCs/>
                    </w:rPr>
                  </w:pPr>
                  <w:r w:rsidRPr="0048476C">
                    <w:rPr>
                      <w:b/>
                      <w:bCs/>
                    </w:rPr>
                    <w:t>Plain Text Name</w:t>
                  </w:r>
                </w:p>
              </w:tc>
              <w:tc>
                <w:tcPr>
                  <w:tcW w:w="1987" w:type="dxa"/>
                </w:tcPr>
                <w:p w14:paraId="06C604FC" w14:textId="5231A0EB" w:rsidR="0048476C" w:rsidRPr="0048476C" w:rsidRDefault="0048476C" w:rsidP="0048476C">
                  <w:pPr>
                    <w:jc w:val="center"/>
                    <w:rPr>
                      <w:b/>
                      <w:bCs/>
                    </w:rPr>
                  </w:pPr>
                  <w:r w:rsidRPr="0048476C">
                    <w:rPr>
                      <w:b/>
                      <w:bCs/>
                    </w:rPr>
                    <w:t>Policy</w:t>
                  </w:r>
                </w:p>
              </w:tc>
            </w:tr>
            <w:tr w:rsidR="0048476C" w14:paraId="4DAAAF47" w14:textId="6ED9B36E" w:rsidTr="0048476C">
              <w:tc>
                <w:tcPr>
                  <w:tcW w:w="2186" w:type="dxa"/>
                </w:tcPr>
                <w:p w14:paraId="4AC2CA99" w14:textId="4CF35BF7" w:rsidR="0048476C" w:rsidRDefault="0048476C" w:rsidP="00620FB2">
                  <w:r>
                    <w:t>506</w:t>
                  </w:r>
                </w:p>
              </w:tc>
              <w:tc>
                <w:tcPr>
                  <w:tcW w:w="2767" w:type="dxa"/>
                </w:tcPr>
                <w:p w14:paraId="2DE32228" w14:textId="04952DBA" w:rsidR="0048476C" w:rsidRDefault="0048476C" w:rsidP="00620FB2">
                  <w:r>
                    <w:t>1000478</w:t>
                  </w:r>
                </w:p>
              </w:tc>
              <w:tc>
                <w:tcPr>
                  <w:tcW w:w="2184" w:type="dxa"/>
                </w:tcPr>
                <w:p w14:paraId="7DA21273" w14:textId="2C96B448" w:rsidR="0048476C" w:rsidRDefault="00770FB9" w:rsidP="00620FB2">
                  <w:r>
                    <w:t>DHCP Message</w:t>
                  </w:r>
                </w:p>
              </w:tc>
              <w:tc>
                <w:tcPr>
                  <w:tcW w:w="1987" w:type="dxa"/>
                </w:tcPr>
                <w:p w14:paraId="30C5777A" w14:textId="26C2CDFD" w:rsidR="0048476C" w:rsidRDefault="00770FB9" w:rsidP="00620FB2">
                  <w:r>
                    <w:t xml:space="preserve">Syslog - </w:t>
                  </w:r>
                  <w:proofErr w:type="spellStart"/>
                  <w:r>
                    <w:t>Info</w:t>
                  </w:r>
                  <w:r w:rsidR="00313254">
                    <w:t>Blox</w:t>
                  </w:r>
                  <w:proofErr w:type="spellEnd"/>
                </w:p>
              </w:tc>
            </w:tr>
            <w:tr w:rsidR="0048476C" w14:paraId="2AE904E3" w14:textId="17E525AF" w:rsidTr="0048476C">
              <w:tc>
                <w:tcPr>
                  <w:tcW w:w="2186" w:type="dxa"/>
                </w:tcPr>
                <w:p w14:paraId="2813070B" w14:textId="68D75B51" w:rsidR="0048476C" w:rsidRDefault="0048476C" w:rsidP="00620FB2">
                  <w:r>
                    <w:t>411</w:t>
                  </w:r>
                </w:p>
              </w:tc>
              <w:tc>
                <w:tcPr>
                  <w:tcW w:w="2767" w:type="dxa"/>
                </w:tcPr>
                <w:p w14:paraId="7D01F913" w14:textId="58F333BF" w:rsidR="0048476C" w:rsidRDefault="0048476C" w:rsidP="00620FB2">
                  <w:r>
                    <w:t>1011797</w:t>
                  </w:r>
                </w:p>
              </w:tc>
              <w:tc>
                <w:tcPr>
                  <w:tcW w:w="2184" w:type="dxa"/>
                </w:tcPr>
                <w:p w14:paraId="4FBD4410" w14:textId="1EC3D64A" w:rsidR="0048476C" w:rsidRDefault="0080533B" w:rsidP="00620FB2">
                  <w:r>
                    <w:t>User Privileges Logs</w:t>
                  </w:r>
                </w:p>
              </w:tc>
              <w:tc>
                <w:tcPr>
                  <w:tcW w:w="1987" w:type="dxa"/>
                </w:tcPr>
                <w:p w14:paraId="4CE35CB3" w14:textId="60A81E04" w:rsidR="0048476C" w:rsidRDefault="0080533B" w:rsidP="00620FB2">
                  <w:r>
                    <w:t>Syslog- VMWare</w:t>
                  </w:r>
                </w:p>
              </w:tc>
            </w:tr>
            <w:tr w:rsidR="0048476C" w14:paraId="512F8E75" w14:textId="5D719634" w:rsidTr="0048476C">
              <w:tc>
                <w:tcPr>
                  <w:tcW w:w="2186" w:type="dxa"/>
                </w:tcPr>
                <w:p w14:paraId="49A65DF4" w14:textId="012A6A4D" w:rsidR="0048476C" w:rsidRDefault="0048476C" w:rsidP="00620FB2">
                  <w:r>
                    <w:t>400</w:t>
                  </w:r>
                </w:p>
              </w:tc>
              <w:tc>
                <w:tcPr>
                  <w:tcW w:w="2767" w:type="dxa"/>
                </w:tcPr>
                <w:p w14:paraId="0E6F2A91" w14:textId="4924D178" w:rsidR="0048476C" w:rsidRDefault="0048476C" w:rsidP="00620FB2">
                  <w:r>
                    <w:t>1005006</w:t>
                  </w:r>
                </w:p>
              </w:tc>
              <w:tc>
                <w:tcPr>
                  <w:tcW w:w="2184" w:type="dxa"/>
                </w:tcPr>
                <w:p w14:paraId="59C0B6BE" w14:textId="63A09A90" w:rsidR="0048476C" w:rsidRDefault="00676D7F" w:rsidP="00620FB2">
                  <w:r>
                    <w:t>SSH Connection</w:t>
                  </w:r>
                </w:p>
              </w:tc>
              <w:tc>
                <w:tcPr>
                  <w:tcW w:w="1987" w:type="dxa"/>
                </w:tcPr>
                <w:p w14:paraId="699C2DAB" w14:textId="65835BA2" w:rsidR="0048476C" w:rsidRDefault="00676D7F" w:rsidP="00620FB2">
                  <w:r>
                    <w:t>Various Syslog</w:t>
                  </w:r>
                </w:p>
              </w:tc>
            </w:tr>
            <w:tr w:rsidR="0048476C" w14:paraId="7AC4ACE0" w14:textId="2702BEDC" w:rsidTr="0048476C">
              <w:tc>
                <w:tcPr>
                  <w:tcW w:w="2186" w:type="dxa"/>
                </w:tcPr>
                <w:p w14:paraId="28790CE0" w14:textId="7239BBAA" w:rsidR="0048476C" w:rsidRDefault="0048476C" w:rsidP="00620FB2">
                  <w:r>
                    <w:t>249</w:t>
                  </w:r>
                </w:p>
              </w:tc>
              <w:tc>
                <w:tcPr>
                  <w:tcW w:w="2767" w:type="dxa"/>
                </w:tcPr>
                <w:p w14:paraId="46EFB635" w14:textId="208BDC87" w:rsidR="0048476C" w:rsidRDefault="0048476C" w:rsidP="00620FB2">
                  <w:r>
                    <w:t>1006108</w:t>
                  </w:r>
                </w:p>
              </w:tc>
              <w:tc>
                <w:tcPr>
                  <w:tcW w:w="2184" w:type="dxa"/>
                </w:tcPr>
                <w:p w14:paraId="752DD802" w14:textId="72C1A85F" w:rsidR="0048476C" w:rsidRDefault="00A94CDB" w:rsidP="00620FB2">
                  <w:r>
                    <w:t xml:space="preserve">Query Statement </w:t>
                  </w:r>
                </w:p>
              </w:tc>
              <w:tc>
                <w:tcPr>
                  <w:tcW w:w="1987" w:type="dxa"/>
                </w:tcPr>
                <w:p w14:paraId="2F60BA64" w14:textId="0B6CAAE7" w:rsidR="0048476C" w:rsidRDefault="00A94CDB" w:rsidP="00620FB2">
                  <w:r>
                    <w:t xml:space="preserve">Syslog - </w:t>
                  </w:r>
                  <w:proofErr w:type="spellStart"/>
                  <w:r>
                    <w:t>InfoBlox</w:t>
                  </w:r>
                  <w:proofErr w:type="spellEnd"/>
                </w:p>
              </w:tc>
            </w:tr>
            <w:tr w:rsidR="0048476C" w14:paraId="1025D3DB" w14:textId="587FFAEC" w:rsidTr="0048476C">
              <w:tc>
                <w:tcPr>
                  <w:tcW w:w="2186" w:type="dxa"/>
                </w:tcPr>
                <w:p w14:paraId="6628F9CB" w14:textId="05BBE3B2" w:rsidR="0048476C" w:rsidRDefault="0048476C" w:rsidP="00620FB2">
                  <w:r>
                    <w:t>246</w:t>
                  </w:r>
                </w:p>
              </w:tc>
              <w:tc>
                <w:tcPr>
                  <w:tcW w:w="2767" w:type="dxa"/>
                </w:tcPr>
                <w:p w14:paraId="4D03DAA7" w14:textId="68B4056E" w:rsidR="0048476C" w:rsidRDefault="0048476C" w:rsidP="00620FB2">
                  <w:r>
                    <w:t>1009928</w:t>
                  </w:r>
                </w:p>
              </w:tc>
              <w:tc>
                <w:tcPr>
                  <w:tcW w:w="2184" w:type="dxa"/>
                </w:tcPr>
                <w:p w14:paraId="27E826D0" w14:textId="0B88EAB5" w:rsidR="0048476C" w:rsidRDefault="00DB7DCD" w:rsidP="00620FB2">
                  <w:r>
                    <w:t>General VMWare</w:t>
                  </w:r>
                </w:p>
              </w:tc>
              <w:tc>
                <w:tcPr>
                  <w:tcW w:w="1987" w:type="dxa"/>
                </w:tcPr>
                <w:p w14:paraId="40CA2140" w14:textId="71FEE8A9" w:rsidR="0048476C" w:rsidRDefault="00DB7DCD" w:rsidP="00620FB2">
                  <w:r>
                    <w:t>Syslog- VMWare</w:t>
                  </w:r>
                </w:p>
              </w:tc>
            </w:tr>
          </w:tbl>
          <w:p w14:paraId="485C32BC" w14:textId="6A7C2AE6" w:rsidR="00E55097" w:rsidRDefault="00E55097" w:rsidP="00620FB2">
            <w:r>
              <w:lastRenderedPageBreak/>
              <w:t xml:space="preserve">You can use this information combined with the </w:t>
            </w:r>
            <w:r w:rsidR="009757C4" w:rsidRPr="009757C4">
              <w:t>KA - Parsing Improvement Timeouts &amp; Rule Performance Improvement</w:t>
            </w:r>
            <w:r w:rsidR="009757C4">
              <w:t xml:space="preserve"> to analyze the LPS_Detail.log. </w:t>
            </w:r>
            <w:r w:rsidR="00DB7DCD">
              <w:t xml:space="preserve">In order to align </w:t>
            </w:r>
            <w:proofErr w:type="spellStart"/>
            <w:r w:rsidR="00DB7DCD">
              <w:t>MPEERuleRegexID</w:t>
            </w:r>
            <w:proofErr w:type="spellEnd"/>
            <w:r w:rsidR="00DB7DCD">
              <w:t xml:space="preserve"> with actual rule names you can use the MPE Rule Builder or the queries built below: </w:t>
            </w:r>
          </w:p>
          <w:p w14:paraId="76885037" w14:textId="667A384D" w:rsidR="009757C4" w:rsidRDefault="009757C4" w:rsidP="00620FB2"/>
          <w:p w14:paraId="300BE244" w14:textId="64E5A43D" w:rsidR="00E55097" w:rsidRDefault="00DB7DCD" w:rsidP="00620FB2">
            <w:r>
              <w:t xml:space="preserve">The below query was constructed by a few support engineers working together and has a two primary functions: identifying MPERuleID    OR   identifying MPERuleRegexID. See below how to use: </w:t>
            </w:r>
          </w:p>
          <w:p w14:paraId="58DA91B3" w14:textId="54145C30" w:rsidR="00DB7DCD" w:rsidRDefault="00DB7DCD" w:rsidP="00620FB2"/>
          <w:p w14:paraId="2C218750" w14:textId="2F1C1C05" w:rsidR="00DB7DCD" w:rsidRDefault="00DB7DCD" w:rsidP="00DB7DCD">
            <w:pPr>
              <w:pStyle w:val="ListParagraph"/>
              <w:numPr>
                <w:ilvl w:val="0"/>
                <w:numId w:val="11"/>
              </w:numPr>
            </w:pPr>
            <w:r>
              <w:t xml:space="preserve">Open SQL Management Studio </w:t>
            </w:r>
          </w:p>
          <w:p w14:paraId="646BBEE9" w14:textId="034872D0" w:rsidR="00DB7DCD" w:rsidRDefault="00DB7DCD" w:rsidP="00DB7DCD">
            <w:pPr>
              <w:pStyle w:val="ListParagraph"/>
              <w:numPr>
                <w:ilvl w:val="0"/>
                <w:numId w:val="11"/>
              </w:numPr>
            </w:pPr>
            <w:r>
              <w:t xml:space="preserve">Select “New Query” (don’t worry about selecting a </w:t>
            </w:r>
            <w:proofErr w:type="spellStart"/>
            <w:r>
              <w:t>DB..it’s</w:t>
            </w:r>
            <w:proofErr w:type="spellEnd"/>
            <w:r>
              <w:t xml:space="preserve"> pre-populated in the query)</w:t>
            </w:r>
          </w:p>
          <w:p w14:paraId="0D693C01" w14:textId="0273C10D" w:rsidR="00DB7DCD" w:rsidRDefault="00DB7DCD" w:rsidP="00DB7DCD">
            <w:pPr>
              <w:pStyle w:val="ListParagraph"/>
              <w:numPr>
                <w:ilvl w:val="0"/>
                <w:numId w:val="11"/>
              </w:numPr>
            </w:pPr>
            <w:r>
              <w:t xml:space="preserve">Paste the below query </w:t>
            </w:r>
          </w:p>
          <w:p w14:paraId="2DC1BC15" w14:textId="43C3C26C" w:rsidR="00DB7DCD" w:rsidRDefault="00DB7DCD" w:rsidP="00DB7DCD">
            <w:pPr>
              <w:pStyle w:val="ListParagraph"/>
              <w:numPr>
                <w:ilvl w:val="0"/>
                <w:numId w:val="11"/>
              </w:numPr>
            </w:pPr>
            <w:r>
              <w:t xml:space="preserve">Where you see “SET” on lines 5/6. Modify your </w:t>
            </w:r>
            <w:proofErr w:type="spellStart"/>
            <w:r>
              <w:t>MPERule</w:t>
            </w:r>
            <w:proofErr w:type="spellEnd"/>
            <w:r>
              <w:t xml:space="preserve"> ID or MPERuleRegexID</w:t>
            </w:r>
          </w:p>
          <w:p w14:paraId="480680E6" w14:textId="1196A27B" w:rsidR="00DB7DCD" w:rsidRDefault="00DB7DCD" w:rsidP="00DB7DCD">
            <w:pPr>
              <w:pStyle w:val="ListParagraph"/>
              <w:numPr>
                <w:ilvl w:val="0"/>
                <w:numId w:val="11"/>
              </w:numPr>
            </w:pPr>
            <w:r>
              <w:t xml:space="preserve">Uncomment the specific </w:t>
            </w:r>
            <w:r w:rsidR="00AB582B">
              <w:t xml:space="preserve">function you are using to lock in the variable by deleting the - - </w:t>
            </w:r>
          </w:p>
          <w:p w14:paraId="6D8A1619" w14:textId="5AB3C021" w:rsidR="00AB582B" w:rsidRDefault="00AB582B" w:rsidP="00DB7DCD">
            <w:pPr>
              <w:pStyle w:val="ListParagraph"/>
              <w:numPr>
                <w:ilvl w:val="0"/>
                <w:numId w:val="11"/>
              </w:numPr>
            </w:pPr>
            <w:r>
              <w:t xml:space="preserve">Note: It will probably work in strange ways and give weird info if you use both variables at the same time but it’s easier to just use one of them. </w:t>
            </w:r>
          </w:p>
          <w:p w14:paraId="656B838F" w14:textId="68A2F2CB" w:rsidR="00977459" w:rsidRDefault="00977459" w:rsidP="00620FB2"/>
          <w:p w14:paraId="780A026B" w14:textId="77777777" w:rsidR="00D47069" w:rsidRDefault="00D47069" w:rsidP="00D47069">
            <w:r>
              <w:t xml:space="preserve">USE </w:t>
            </w:r>
            <w:proofErr w:type="spellStart"/>
            <w:r>
              <w:t>LogRhythmEMDB</w:t>
            </w:r>
            <w:proofErr w:type="spellEnd"/>
          </w:p>
          <w:p w14:paraId="330BAD32" w14:textId="77777777" w:rsidR="00D47069" w:rsidRDefault="00D47069" w:rsidP="00D47069">
            <w:r>
              <w:t>GO</w:t>
            </w:r>
          </w:p>
          <w:p w14:paraId="62002769" w14:textId="77777777" w:rsidR="00D47069" w:rsidRDefault="00D47069" w:rsidP="00D47069">
            <w:r>
              <w:t>DECLARE @MPERuleID INT, @MPERuleRegexID INT</w:t>
            </w:r>
          </w:p>
          <w:p w14:paraId="3AF4D597" w14:textId="77777777" w:rsidR="00D47069" w:rsidRDefault="00D47069" w:rsidP="00D47069"/>
          <w:p w14:paraId="5DB2D1A7" w14:textId="77777777" w:rsidR="00D47069" w:rsidRDefault="00D47069" w:rsidP="00D47069">
            <w:r>
              <w:t>--SET @MPERuleID = 1055609</w:t>
            </w:r>
          </w:p>
          <w:p w14:paraId="3021DEAB" w14:textId="77777777" w:rsidR="00D47069" w:rsidRDefault="00D47069" w:rsidP="00D47069">
            <w:r>
              <w:t>--SET @MPERuleRegexID = 1000478</w:t>
            </w:r>
          </w:p>
          <w:p w14:paraId="1E680849" w14:textId="77777777" w:rsidR="00D47069" w:rsidRDefault="00D47069" w:rsidP="00D47069"/>
          <w:p w14:paraId="18129AE9" w14:textId="77777777" w:rsidR="00D47069" w:rsidRDefault="00D47069" w:rsidP="00D47069">
            <w:r>
              <w:t xml:space="preserve">SELECT </w:t>
            </w:r>
            <w:proofErr w:type="spellStart"/>
            <w:r>
              <w:t>mper.MPERuleRegexID</w:t>
            </w:r>
            <w:proofErr w:type="spellEnd"/>
            <w:r>
              <w:t xml:space="preserve">, </w:t>
            </w:r>
            <w:proofErr w:type="spellStart"/>
            <w:r>
              <w:t>mper.MPERuleID</w:t>
            </w:r>
            <w:proofErr w:type="spellEnd"/>
            <w:r>
              <w:t xml:space="preserve">, </w:t>
            </w:r>
            <w:proofErr w:type="spellStart"/>
            <w:r>
              <w:t>mper.FullName</w:t>
            </w:r>
            <w:proofErr w:type="spellEnd"/>
            <w:r>
              <w:t xml:space="preserve"> AS "MPE Rule Name", </w:t>
            </w:r>
            <w:proofErr w:type="spellStart"/>
            <w:r>
              <w:t>mst.FullName</w:t>
            </w:r>
            <w:proofErr w:type="spellEnd"/>
            <w:r>
              <w:t xml:space="preserve"> AS "Log Source Type"</w:t>
            </w:r>
          </w:p>
          <w:p w14:paraId="1CCD8D93" w14:textId="77777777" w:rsidR="00D47069" w:rsidRDefault="00D47069" w:rsidP="00D47069">
            <w:r>
              <w:t xml:space="preserve">FROM </w:t>
            </w:r>
            <w:proofErr w:type="spellStart"/>
            <w:r>
              <w:t>dbo.MPERule</w:t>
            </w:r>
            <w:proofErr w:type="spellEnd"/>
            <w:r>
              <w:t xml:space="preserve"> </w:t>
            </w:r>
            <w:proofErr w:type="spellStart"/>
            <w:r>
              <w:t>mper</w:t>
            </w:r>
            <w:proofErr w:type="spellEnd"/>
          </w:p>
          <w:p w14:paraId="14BD0B55" w14:textId="77777777" w:rsidR="00D47069" w:rsidRDefault="00D47069" w:rsidP="00D47069">
            <w:r>
              <w:t xml:space="preserve">FULL JOIN </w:t>
            </w:r>
            <w:proofErr w:type="spellStart"/>
            <w:r>
              <w:t>dbo.MPERuleToMsgSourceType</w:t>
            </w:r>
            <w:proofErr w:type="spellEnd"/>
            <w:r>
              <w:t xml:space="preserve"> </w:t>
            </w:r>
            <w:proofErr w:type="spellStart"/>
            <w:r>
              <w:t>mpertmst</w:t>
            </w:r>
            <w:proofErr w:type="spellEnd"/>
            <w:r>
              <w:t xml:space="preserve"> on </w:t>
            </w:r>
            <w:proofErr w:type="spellStart"/>
            <w:r>
              <w:t>mper.MPERuleRegexID</w:t>
            </w:r>
            <w:proofErr w:type="spellEnd"/>
            <w:r>
              <w:t xml:space="preserve"> = </w:t>
            </w:r>
            <w:proofErr w:type="spellStart"/>
            <w:r>
              <w:t>mpertmst.MPERuleRegexID</w:t>
            </w:r>
            <w:proofErr w:type="spellEnd"/>
          </w:p>
          <w:p w14:paraId="336887EF" w14:textId="77777777" w:rsidR="00D47069" w:rsidRDefault="00D47069" w:rsidP="00D47069">
            <w:r>
              <w:t xml:space="preserve">FULL JOIN </w:t>
            </w:r>
            <w:proofErr w:type="spellStart"/>
            <w:r>
              <w:t>dbo.MsgSourceType</w:t>
            </w:r>
            <w:proofErr w:type="spellEnd"/>
            <w:r>
              <w:t xml:space="preserve"> </w:t>
            </w:r>
            <w:proofErr w:type="spellStart"/>
            <w:r>
              <w:t>mst</w:t>
            </w:r>
            <w:proofErr w:type="spellEnd"/>
            <w:r>
              <w:t xml:space="preserve"> ON </w:t>
            </w:r>
            <w:proofErr w:type="spellStart"/>
            <w:r>
              <w:t>mpertmst.MsgSourceTypeID</w:t>
            </w:r>
            <w:proofErr w:type="spellEnd"/>
            <w:r>
              <w:t xml:space="preserve"> = </w:t>
            </w:r>
            <w:proofErr w:type="spellStart"/>
            <w:r>
              <w:t>mst.MsgSourceTypeID</w:t>
            </w:r>
            <w:proofErr w:type="spellEnd"/>
          </w:p>
          <w:p w14:paraId="4C339D50" w14:textId="77777777" w:rsidR="00D47069" w:rsidRDefault="00D47069" w:rsidP="00D47069">
            <w:r>
              <w:t xml:space="preserve">WHERE </w:t>
            </w:r>
            <w:proofErr w:type="spellStart"/>
            <w:r>
              <w:t>mper.MPERuleRegexID</w:t>
            </w:r>
            <w:proofErr w:type="spellEnd"/>
            <w:r>
              <w:t xml:space="preserve"> = @MPERuleRegexID OR MPERuleID = @MPERuleID</w:t>
            </w:r>
          </w:p>
          <w:p w14:paraId="1122F9E0" w14:textId="7326D675" w:rsidR="00E55097" w:rsidRPr="00D9452D" w:rsidRDefault="00D47069" w:rsidP="00D47069">
            <w:r>
              <w:t>ORDER BY [Log Source Type]</w:t>
            </w:r>
          </w:p>
          <w:p w14:paraId="4E848AAB" w14:textId="2ADE821F" w:rsidR="006E5C3F" w:rsidRPr="005C7A36" w:rsidRDefault="006E5C3F" w:rsidP="00620FB2"/>
        </w:tc>
      </w:tr>
      <w:tr w:rsidR="00CD2B2F" w14:paraId="2E43D93D" w14:textId="77777777" w:rsidTr="00CD2B2F">
        <w:tc>
          <w:tcPr>
            <w:tcW w:w="9350" w:type="dxa"/>
          </w:tcPr>
          <w:p w14:paraId="7CB6912A" w14:textId="77777777" w:rsidR="00CD2B2F" w:rsidRDefault="00CD2B2F">
            <w:r>
              <w:lastRenderedPageBreak/>
              <w:t xml:space="preserve">Remediation Process </w:t>
            </w:r>
          </w:p>
          <w:p w14:paraId="7633070E" w14:textId="608E5466" w:rsidR="001D621D" w:rsidRDefault="001D621D" w:rsidP="001D621D">
            <w:pPr>
              <w:pStyle w:val="ListParagraph"/>
              <w:numPr>
                <w:ilvl w:val="0"/>
                <w:numId w:val="10"/>
              </w:numPr>
            </w:pPr>
            <w:r>
              <w:t xml:space="preserve">Open </w:t>
            </w:r>
            <w:proofErr w:type="spellStart"/>
            <w:r>
              <w:t>LogAnalyzer</w:t>
            </w:r>
            <w:proofErr w:type="spellEnd"/>
            <w:r>
              <w:t xml:space="preserve"> </w:t>
            </w:r>
            <w:hyperlink r:id="rId10" w:history="1">
              <w:r w:rsidRPr="005F5D56">
                <w:rPr>
                  <w:rStyle w:val="Hyperlink"/>
                </w:rPr>
                <w:t>http://10.5.0.233/logAnalyzer.php</w:t>
              </w:r>
            </w:hyperlink>
          </w:p>
          <w:p w14:paraId="4AFBA8AC" w14:textId="77777777" w:rsidR="0067141F" w:rsidRDefault="001D621D" w:rsidP="001D621D">
            <w:pPr>
              <w:pStyle w:val="ListParagraph"/>
              <w:numPr>
                <w:ilvl w:val="0"/>
                <w:numId w:val="10"/>
              </w:numPr>
            </w:pPr>
            <w:r>
              <w:t xml:space="preserve">Upload scmpe.log (ensuring file name is correct) </w:t>
            </w:r>
          </w:p>
          <w:p w14:paraId="229E4EDA" w14:textId="4281907F" w:rsidR="001D621D" w:rsidRDefault="001D621D" w:rsidP="001D621D">
            <w:pPr>
              <w:pStyle w:val="ListParagraph"/>
              <w:numPr>
                <w:ilvl w:val="0"/>
                <w:numId w:val="10"/>
              </w:numPr>
            </w:pPr>
            <w:r>
              <w:t xml:space="preserve">Interpret results. Use SQL queries to align MPERuleRegexID, MPERuleID, and </w:t>
            </w:r>
            <w:proofErr w:type="spellStart"/>
            <w:r>
              <w:t>CommonEventID</w:t>
            </w:r>
            <w:proofErr w:type="spellEnd"/>
            <w:r>
              <w:t xml:space="preserve"> with information found in logs and Rule Builder. </w:t>
            </w:r>
          </w:p>
        </w:tc>
      </w:tr>
      <w:tr w:rsidR="00CD2B2F" w14:paraId="03EE3E91" w14:textId="77777777" w:rsidTr="00CD2B2F">
        <w:tc>
          <w:tcPr>
            <w:tcW w:w="9350" w:type="dxa"/>
          </w:tcPr>
          <w:p w14:paraId="7BF1BD0B" w14:textId="18D63974" w:rsidR="00CD2B2F" w:rsidRDefault="00CD2B2F">
            <w:r>
              <w:t xml:space="preserve">Root Cause </w:t>
            </w:r>
          </w:p>
        </w:tc>
      </w:tr>
      <w:tr w:rsidR="00CD2B2F" w14:paraId="51696F0F" w14:textId="77777777" w:rsidTr="00CD2B2F">
        <w:tc>
          <w:tcPr>
            <w:tcW w:w="9350" w:type="dxa"/>
          </w:tcPr>
          <w:p w14:paraId="65E305FC" w14:textId="2E5330AB" w:rsidR="008C4438" w:rsidRDefault="00CD2B2F" w:rsidP="0014777B">
            <w:r>
              <w:t xml:space="preserve">Additonal Resources </w:t>
            </w:r>
          </w:p>
        </w:tc>
      </w:tr>
      <w:tr w:rsidR="00CD2B2F" w14:paraId="4372089F" w14:textId="77777777" w:rsidTr="00CD2B2F">
        <w:tc>
          <w:tcPr>
            <w:tcW w:w="9350" w:type="dxa"/>
          </w:tcPr>
          <w:p w14:paraId="54D67C79" w14:textId="4D739206" w:rsidR="00CD2B2F" w:rsidRDefault="00CD2B2F">
            <w:r>
              <w:t xml:space="preserve">Tags </w:t>
            </w:r>
          </w:p>
        </w:tc>
      </w:tr>
    </w:tbl>
    <w:p w14:paraId="3B6BE353" w14:textId="77777777" w:rsidR="007A643C" w:rsidRDefault="007A643C"/>
    <w:sectPr w:rsidR="007A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85A11"/>
    <w:multiLevelType w:val="hybridMultilevel"/>
    <w:tmpl w:val="3E989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367A5"/>
    <w:multiLevelType w:val="multilevel"/>
    <w:tmpl w:val="CC1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EA22F6"/>
    <w:multiLevelType w:val="multilevel"/>
    <w:tmpl w:val="F0942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DA5F7F"/>
    <w:multiLevelType w:val="hybridMultilevel"/>
    <w:tmpl w:val="A8869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54170"/>
    <w:multiLevelType w:val="multilevel"/>
    <w:tmpl w:val="599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7C51AD"/>
    <w:multiLevelType w:val="multilevel"/>
    <w:tmpl w:val="1F9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4E4AE9"/>
    <w:multiLevelType w:val="multilevel"/>
    <w:tmpl w:val="3D18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48314E"/>
    <w:multiLevelType w:val="hybridMultilevel"/>
    <w:tmpl w:val="23E2E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13009"/>
    <w:multiLevelType w:val="hybridMultilevel"/>
    <w:tmpl w:val="BE486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650F79"/>
    <w:multiLevelType w:val="hybridMultilevel"/>
    <w:tmpl w:val="AC4EA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C66A0"/>
    <w:multiLevelType w:val="multilevel"/>
    <w:tmpl w:val="88DA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2"/>
  </w:num>
  <w:num w:numId="4">
    <w:abstractNumId w:val="1"/>
  </w:num>
  <w:num w:numId="5">
    <w:abstractNumId w:val="8"/>
  </w:num>
  <w:num w:numId="6">
    <w:abstractNumId w:val="10"/>
  </w:num>
  <w:num w:numId="7">
    <w:abstractNumId w:val="3"/>
  </w:num>
  <w:num w:numId="8">
    <w:abstractNumId w:val="5"/>
  </w:num>
  <w:num w:numId="9">
    <w:abstractNumId w:val="9"/>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0E"/>
    <w:rsid w:val="000040EA"/>
    <w:rsid w:val="0000427A"/>
    <w:rsid w:val="00004BCD"/>
    <w:rsid w:val="00016E65"/>
    <w:rsid w:val="00041668"/>
    <w:rsid w:val="000545B4"/>
    <w:rsid w:val="00064BEF"/>
    <w:rsid w:val="0007202D"/>
    <w:rsid w:val="00072D7C"/>
    <w:rsid w:val="00076E91"/>
    <w:rsid w:val="00077753"/>
    <w:rsid w:val="000A40A7"/>
    <w:rsid w:val="000D1707"/>
    <w:rsid w:val="000E6711"/>
    <w:rsid w:val="000F212D"/>
    <w:rsid w:val="000F5A53"/>
    <w:rsid w:val="000F614B"/>
    <w:rsid w:val="00111D79"/>
    <w:rsid w:val="00120562"/>
    <w:rsid w:val="0012124E"/>
    <w:rsid w:val="00133F07"/>
    <w:rsid w:val="001358A5"/>
    <w:rsid w:val="00140700"/>
    <w:rsid w:val="0014777B"/>
    <w:rsid w:val="0016124B"/>
    <w:rsid w:val="00170EF1"/>
    <w:rsid w:val="001815D3"/>
    <w:rsid w:val="0019088E"/>
    <w:rsid w:val="00194C15"/>
    <w:rsid w:val="001A3490"/>
    <w:rsid w:val="001B6EB2"/>
    <w:rsid w:val="001D3D90"/>
    <w:rsid w:val="001D621D"/>
    <w:rsid w:val="001D68DA"/>
    <w:rsid w:val="001E1A9E"/>
    <w:rsid w:val="001E7709"/>
    <w:rsid w:val="001F264A"/>
    <w:rsid w:val="002000D4"/>
    <w:rsid w:val="00200B13"/>
    <w:rsid w:val="00207083"/>
    <w:rsid w:val="00211197"/>
    <w:rsid w:val="00211A11"/>
    <w:rsid w:val="00216BAE"/>
    <w:rsid w:val="00224422"/>
    <w:rsid w:val="00231705"/>
    <w:rsid w:val="002365CF"/>
    <w:rsid w:val="00241017"/>
    <w:rsid w:val="00241541"/>
    <w:rsid w:val="00275492"/>
    <w:rsid w:val="002954A5"/>
    <w:rsid w:val="002A1DE0"/>
    <w:rsid w:val="002A2BBD"/>
    <w:rsid w:val="002A5940"/>
    <w:rsid w:val="002A5F88"/>
    <w:rsid w:val="002B04C2"/>
    <w:rsid w:val="002C0EFD"/>
    <w:rsid w:val="002C32CD"/>
    <w:rsid w:val="002C4841"/>
    <w:rsid w:val="002D79A1"/>
    <w:rsid w:val="002E3378"/>
    <w:rsid w:val="00313254"/>
    <w:rsid w:val="003313F8"/>
    <w:rsid w:val="00335E82"/>
    <w:rsid w:val="00336383"/>
    <w:rsid w:val="00340E1C"/>
    <w:rsid w:val="00341817"/>
    <w:rsid w:val="00342F98"/>
    <w:rsid w:val="00347CE7"/>
    <w:rsid w:val="00355029"/>
    <w:rsid w:val="00372A0C"/>
    <w:rsid w:val="003800CD"/>
    <w:rsid w:val="00390597"/>
    <w:rsid w:val="003911C3"/>
    <w:rsid w:val="003926DF"/>
    <w:rsid w:val="003B2BBA"/>
    <w:rsid w:val="003B72F2"/>
    <w:rsid w:val="003D5A0A"/>
    <w:rsid w:val="003D7927"/>
    <w:rsid w:val="003E216C"/>
    <w:rsid w:val="003F67F2"/>
    <w:rsid w:val="0040198A"/>
    <w:rsid w:val="00402622"/>
    <w:rsid w:val="00405AC3"/>
    <w:rsid w:val="00410992"/>
    <w:rsid w:val="00413F18"/>
    <w:rsid w:val="004245C3"/>
    <w:rsid w:val="00424DCF"/>
    <w:rsid w:val="004746C8"/>
    <w:rsid w:val="00482B49"/>
    <w:rsid w:val="0048476C"/>
    <w:rsid w:val="00494E0E"/>
    <w:rsid w:val="004A7F1E"/>
    <w:rsid w:val="004C014D"/>
    <w:rsid w:val="004F5017"/>
    <w:rsid w:val="005028B2"/>
    <w:rsid w:val="00502D24"/>
    <w:rsid w:val="00524A50"/>
    <w:rsid w:val="005370D1"/>
    <w:rsid w:val="00545A11"/>
    <w:rsid w:val="00547703"/>
    <w:rsid w:val="0056397C"/>
    <w:rsid w:val="00575926"/>
    <w:rsid w:val="00596A4B"/>
    <w:rsid w:val="005A2155"/>
    <w:rsid w:val="005C4A65"/>
    <w:rsid w:val="005C7A36"/>
    <w:rsid w:val="005D6939"/>
    <w:rsid w:val="005E7031"/>
    <w:rsid w:val="005F04EA"/>
    <w:rsid w:val="005F5759"/>
    <w:rsid w:val="006102DD"/>
    <w:rsid w:val="00615054"/>
    <w:rsid w:val="00620FB2"/>
    <w:rsid w:val="006278F0"/>
    <w:rsid w:val="00630157"/>
    <w:rsid w:val="006311C4"/>
    <w:rsid w:val="006542AC"/>
    <w:rsid w:val="00666476"/>
    <w:rsid w:val="0067141F"/>
    <w:rsid w:val="006726B0"/>
    <w:rsid w:val="00674B42"/>
    <w:rsid w:val="00676D7F"/>
    <w:rsid w:val="006A0893"/>
    <w:rsid w:val="006A15AC"/>
    <w:rsid w:val="006D46C1"/>
    <w:rsid w:val="006E0E4D"/>
    <w:rsid w:val="006E5C3F"/>
    <w:rsid w:val="006E6921"/>
    <w:rsid w:val="006F2978"/>
    <w:rsid w:val="00710383"/>
    <w:rsid w:val="00761424"/>
    <w:rsid w:val="0076516B"/>
    <w:rsid w:val="00770FB9"/>
    <w:rsid w:val="00781F81"/>
    <w:rsid w:val="007875AD"/>
    <w:rsid w:val="0079666C"/>
    <w:rsid w:val="007A643C"/>
    <w:rsid w:val="007B0346"/>
    <w:rsid w:val="007C4B8A"/>
    <w:rsid w:val="007C5C31"/>
    <w:rsid w:val="007C711F"/>
    <w:rsid w:val="007D59DE"/>
    <w:rsid w:val="007D75B7"/>
    <w:rsid w:val="007E27DE"/>
    <w:rsid w:val="007F667E"/>
    <w:rsid w:val="0080533B"/>
    <w:rsid w:val="00811331"/>
    <w:rsid w:val="00830077"/>
    <w:rsid w:val="00835ABE"/>
    <w:rsid w:val="0084001C"/>
    <w:rsid w:val="008403FE"/>
    <w:rsid w:val="00844581"/>
    <w:rsid w:val="008540B7"/>
    <w:rsid w:val="00862F51"/>
    <w:rsid w:val="00871E5E"/>
    <w:rsid w:val="00873797"/>
    <w:rsid w:val="008A1238"/>
    <w:rsid w:val="008A252A"/>
    <w:rsid w:val="008C4438"/>
    <w:rsid w:val="008D2972"/>
    <w:rsid w:val="008D6F23"/>
    <w:rsid w:val="008D6FD7"/>
    <w:rsid w:val="008E5AD1"/>
    <w:rsid w:val="008E5C90"/>
    <w:rsid w:val="008F3FAA"/>
    <w:rsid w:val="008F7A51"/>
    <w:rsid w:val="00906030"/>
    <w:rsid w:val="00912C77"/>
    <w:rsid w:val="00916D27"/>
    <w:rsid w:val="009171DB"/>
    <w:rsid w:val="00920711"/>
    <w:rsid w:val="00933561"/>
    <w:rsid w:val="0096204A"/>
    <w:rsid w:val="0096645B"/>
    <w:rsid w:val="00973B48"/>
    <w:rsid w:val="009757C4"/>
    <w:rsid w:val="00977459"/>
    <w:rsid w:val="00986CFA"/>
    <w:rsid w:val="009932F6"/>
    <w:rsid w:val="009A5512"/>
    <w:rsid w:val="009B18EC"/>
    <w:rsid w:val="009C28E9"/>
    <w:rsid w:val="009E3F87"/>
    <w:rsid w:val="009E4631"/>
    <w:rsid w:val="009E6C8A"/>
    <w:rsid w:val="009E7AEE"/>
    <w:rsid w:val="009F316E"/>
    <w:rsid w:val="009F5DD6"/>
    <w:rsid w:val="00A0160D"/>
    <w:rsid w:val="00A06806"/>
    <w:rsid w:val="00A33DDA"/>
    <w:rsid w:val="00A34CFD"/>
    <w:rsid w:val="00A37AC0"/>
    <w:rsid w:val="00A4237F"/>
    <w:rsid w:val="00A5067C"/>
    <w:rsid w:val="00A5431A"/>
    <w:rsid w:val="00A54B9D"/>
    <w:rsid w:val="00A612B8"/>
    <w:rsid w:val="00A868B8"/>
    <w:rsid w:val="00A94CDB"/>
    <w:rsid w:val="00AA2116"/>
    <w:rsid w:val="00AA2417"/>
    <w:rsid w:val="00AB0D3F"/>
    <w:rsid w:val="00AB386A"/>
    <w:rsid w:val="00AB582B"/>
    <w:rsid w:val="00AC6478"/>
    <w:rsid w:val="00AD1060"/>
    <w:rsid w:val="00AE1A10"/>
    <w:rsid w:val="00AE3296"/>
    <w:rsid w:val="00AE7D9C"/>
    <w:rsid w:val="00AF2B17"/>
    <w:rsid w:val="00B10F0C"/>
    <w:rsid w:val="00B231E8"/>
    <w:rsid w:val="00B3007D"/>
    <w:rsid w:val="00B310DE"/>
    <w:rsid w:val="00B64CB2"/>
    <w:rsid w:val="00B716DD"/>
    <w:rsid w:val="00B74E80"/>
    <w:rsid w:val="00B84957"/>
    <w:rsid w:val="00BA3D4F"/>
    <w:rsid w:val="00BC2BA2"/>
    <w:rsid w:val="00BE63B9"/>
    <w:rsid w:val="00BE76C3"/>
    <w:rsid w:val="00C006D2"/>
    <w:rsid w:val="00C04FF3"/>
    <w:rsid w:val="00C06AA0"/>
    <w:rsid w:val="00C24F58"/>
    <w:rsid w:val="00C30A2E"/>
    <w:rsid w:val="00C312BC"/>
    <w:rsid w:val="00C31932"/>
    <w:rsid w:val="00C331D6"/>
    <w:rsid w:val="00C44659"/>
    <w:rsid w:val="00C57E1F"/>
    <w:rsid w:val="00C61A75"/>
    <w:rsid w:val="00C95A8B"/>
    <w:rsid w:val="00C97345"/>
    <w:rsid w:val="00C97952"/>
    <w:rsid w:val="00CB4DE7"/>
    <w:rsid w:val="00CD0DE5"/>
    <w:rsid w:val="00CD2B2F"/>
    <w:rsid w:val="00CD52AD"/>
    <w:rsid w:val="00CD5744"/>
    <w:rsid w:val="00CE5DE4"/>
    <w:rsid w:val="00D06605"/>
    <w:rsid w:val="00D33FBB"/>
    <w:rsid w:val="00D47069"/>
    <w:rsid w:val="00D506CB"/>
    <w:rsid w:val="00D666CD"/>
    <w:rsid w:val="00D67204"/>
    <w:rsid w:val="00D771E2"/>
    <w:rsid w:val="00D8054E"/>
    <w:rsid w:val="00D8490F"/>
    <w:rsid w:val="00D9452D"/>
    <w:rsid w:val="00DB2227"/>
    <w:rsid w:val="00DB7DCD"/>
    <w:rsid w:val="00DC74E8"/>
    <w:rsid w:val="00DC7EEE"/>
    <w:rsid w:val="00DD17C7"/>
    <w:rsid w:val="00DE1F94"/>
    <w:rsid w:val="00DE23A1"/>
    <w:rsid w:val="00DE2F93"/>
    <w:rsid w:val="00DE60BB"/>
    <w:rsid w:val="00DE6FCB"/>
    <w:rsid w:val="00E01AF8"/>
    <w:rsid w:val="00E05842"/>
    <w:rsid w:val="00E10475"/>
    <w:rsid w:val="00E111B2"/>
    <w:rsid w:val="00E14A44"/>
    <w:rsid w:val="00E52073"/>
    <w:rsid w:val="00E541AA"/>
    <w:rsid w:val="00E54E35"/>
    <w:rsid w:val="00E55097"/>
    <w:rsid w:val="00E627F9"/>
    <w:rsid w:val="00E91A24"/>
    <w:rsid w:val="00EA5B83"/>
    <w:rsid w:val="00ED46E6"/>
    <w:rsid w:val="00EF16DB"/>
    <w:rsid w:val="00F119EA"/>
    <w:rsid w:val="00F12237"/>
    <w:rsid w:val="00F259CD"/>
    <w:rsid w:val="00F27705"/>
    <w:rsid w:val="00F31B78"/>
    <w:rsid w:val="00F4329F"/>
    <w:rsid w:val="00F51914"/>
    <w:rsid w:val="00F51C2F"/>
    <w:rsid w:val="00F625E8"/>
    <w:rsid w:val="00F63F7E"/>
    <w:rsid w:val="00F64DCA"/>
    <w:rsid w:val="00F67A8F"/>
    <w:rsid w:val="00F755EC"/>
    <w:rsid w:val="00FA0575"/>
    <w:rsid w:val="00FA08A9"/>
    <w:rsid w:val="00FA64AF"/>
    <w:rsid w:val="00FB3795"/>
    <w:rsid w:val="00FC6BE9"/>
    <w:rsid w:val="00FD67A6"/>
    <w:rsid w:val="00FE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7712"/>
  <w15:chartTrackingRefBased/>
  <w15:docId w15:val="{41076C7C-31BD-4F8A-9182-6ED583D2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2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6711"/>
    <w:rPr>
      <w:color w:val="0563C1" w:themeColor="hyperlink"/>
      <w:u w:val="single"/>
    </w:rPr>
  </w:style>
  <w:style w:type="character" w:styleId="UnresolvedMention">
    <w:name w:val="Unresolved Mention"/>
    <w:basedOn w:val="DefaultParagraphFont"/>
    <w:uiPriority w:val="99"/>
    <w:semiHidden/>
    <w:unhideWhenUsed/>
    <w:rsid w:val="000E6711"/>
    <w:rPr>
      <w:color w:val="605E5C"/>
      <w:shd w:val="clear" w:color="auto" w:fill="E1DFDD"/>
    </w:rPr>
  </w:style>
  <w:style w:type="character" w:styleId="Emphasis">
    <w:name w:val="Emphasis"/>
    <w:basedOn w:val="DefaultParagraphFont"/>
    <w:uiPriority w:val="20"/>
    <w:qFormat/>
    <w:rsid w:val="00502D24"/>
    <w:rPr>
      <w:i/>
      <w:iCs/>
    </w:rPr>
  </w:style>
  <w:style w:type="paragraph" w:styleId="NormalWeb">
    <w:name w:val="Normal (Web)"/>
    <w:basedOn w:val="Normal"/>
    <w:uiPriority w:val="99"/>
    <w:unhideWhenUsed/>
    <w:rsid w:val="007B03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45B4"/>
    <w:pPr>
      <w:ind w:left="720"/>
      <w:contextualSpacing/>
    </w:pPr>
  </w:style>
  <w:style w:type="character" w:customStyle="1" w:styleId="test-idfield-value">
    <w:name w:val="test-id__field-value"/>
    <w:basedOn w:val="DefaultParagraphFont"/>
    <w:rsid w:val="003313F8"/>
  </w:style>
  <w:style w:type="character" w:customStyle="1" w:styleId="uioutputtext">
    <w:name w:val="uioutputtext"/>
    <w:basedOn w:val="DefaultParagraphFont"/>
    <w:rsid w:val="006A0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54126">
      <w:bodyDiv w:val="1"/>
      <w:marLeft w:val="0"/>
      <w:marRight w:val="0"/>
      <w:marTop w:val="0"/>
      <w:marBottom w:val="0"/>
      <w:divBdr>
        <w:top w:val="none" w:sz="0" w:space="0" w:color="auto"/>
        <w:left w:val="none" w:sz="0" w:space="0" w:color="auto"/>
        <w:bottom w:val="none" w:sz="0" w:space="0" w:color="auto"/>
        <w:right w:val="none" w:sz="0" w:space="0" w:color="auto"/>
      </w:divBdr>
    </w:div>
    <w:div w:id="871650308">
      <w:bodyDiv w:val="1"/>
      <w:marLeft w:val="0"/>
      <w:marRight w:val="0"/>
      <w:marTop w:val="0"/>
      <w:marBottom w:val="0"/>
      <w:divBdr>
        <w:top w:val="none" w:sz="0" w:space="0" w:color="auto"/>
        <w:left w:val="none" w:sz="0" w:space="0" w:color="auto"/>
        <w:bottom w:val="none" w:sz="0" w:space="0" w:color="auto"/>
        <w:right w:val="none" w:sz="0" w:space="0" w:color="auto"/>
      </w:divBdr>
    </w:div>
    <w:div w:id="889877253">
      <w:bodyDiv w:val="1"/>
      <w:marLeft w:val="0"/>
      <w:marRight w:val="0"/>
      <w:marTop w:val="0"/>
      <w:marBottom w:val="0"/>
      <w:divBdr>
        <w:top w:val="none" w:sz="0" w:space="0" w:color="auto"/>
        <w:left w:val="none" w:sz="0" w:space="0" w:color="auto"/>
        <w:bottom w:val="none" w:sz="0" w:space="0" w:color="auto"/>
        <w:right w:val="none" w:sz="0" w:space="0" w:color="auto"/>
      </w:divBdr>
    </w:div>
    <w:div w:id="930888766">
      <w:bodyDiv w:val="1"/>
      <w:marLeft w:val="0"/>
      <w:marRight w:val="0"/>
      <w:marTop w:val="0"/>
      <w:marBottom w:val="0"/>
      <w:divBdr>
        <w:top w:val="none" w:sz="0" w:space="0" w:color="auto"/>
        <w:left w:val="none" w:sz="0" w:space="0" w:color="auto"/>
        <w:bottom w:val="none" w:sz="0" w:space="0" w:color="auto"/>
        <w:right w:val="none" w:sz="0" w:space="0" w:color="auto"/>
      </w:divBdr>
    </w:div>
    <w:div w:id="933245854">
      <w:bodyDiv w:val="1"/>
      <w:marLeft w:val="0"/>
      <w:marRight w:val="0"/>
      <w:marTop w:val="0"/>
      <w:marBottom w:val="0"/>
      <w:divBdr>
        <w:top w:val="none" w:sz="0" w:space="0" w:color="auto"/>
        <w:left w:val="none" w:sz="0" w:space="0" w:color="auto"/>
        <w:bottom w:val="none" w:sz="0" w:space="0" w:color="auto"/>
        <w:right w:val="none" w:sz="0" w:space="0" w:color="auto"/>
      </w:divBdr>
    </w:div>
    <w:div w:id="987439270">
      <w:bodyDiv w:val="1"/>
      <w:marLeft w:val="0"/>
      <w:marRight w:val="0"/>
      <w:marTop w:val="0"/>
      <w:marBottom w:val="0"/>
      <w:divBdr>
        <w:top w:val="none" w:sz="0" w:space="0" w:color="auto"/>
        <w:left w:val="none" w:sz="0" w:space="0" w:color="auto"/>
        <w:bottom w:val="none" w:sz="0" w:space="0" w:color="auto"/>
        <w:right w:val="none" w:sz="0" w:space="0" w:color="auto"/>
      </w:divBdr>
    </w:div>
    <w:div w:id="990332331">
      <w:bodyDiv w:val="1"/>
      <w:marLeft w:val="0"/>
      <w:marRight w:val="0"/>
      <w:marTop w:val="0"/>
      <w:marBottom w:val="0"/>
      <w:divBdr>
        <w:top w:val="none" w:sz="0" w:space="0" w:color="auto"/>
        <w:left w:val="none" w:sz="0" w:space="0" w:color="auto"/>
        <w:bottom w:val="none" w:sz="0" w:space="0" w:color="auto"/>
        <w:right w:val="none" w:sz="0" w:space="0" w:color="auto"/>
      </w:divBdr>
    </w:div>
    <w:div w:id="1107653868">
      <w:bodyDiv w:val="1"/>
      <w:marLeft w:val="0"/>
      <w:marRight w:val="0"/>
      <w:marTop w:val="0"/>
      <w:marBottom w:val="0"/>
      <w:divBdr>
        <w:top w:val="none" w:sz="0" w:space="0" w:color="auto"/>
        <w:left w:val="none" w:sz="0" w:space="0" w:color="auto"/>
        <w:bottom w:val="none" w:sz="0" w:space="0" w:color="auto"/>
        <w:right w:val="none" w:sz="0" w:space="0" w:color="auto"/>
      </w:divBdr>
    </w:div>
    <w:div w:id="1140028114">
      <w:bodyDiv w:val="1"/>
      <w:marLeft w:val="0"/>
      <w:marRight w:val="0"/>
      <w:marTop w:val="0"/>
      <w:marBottom w:val="0"/>
      <w:divBdr>
        <w:top w:val="none" w:sz="0" w:space="0" w:color="auto"/>
        <w:left w:val="none" w:sz="0" w:space="0" w:color="auto"/>
        <w:bottom w:val="none" w:sz="0" w:space="0" w:color="auto"/>
        <w:right w:val="none" w:sz="0" w:space="0" w:color="auto"/>
      </w:divBdr>
    </w:div>
    <w:div w:id="1637174177">
      <w:bodyDiv w:val="1"/>
      <w:marLeft w:val="0"/>
      <w:marRight w:val="0"/>
      <w:marTop w:val="0"/>
      <w:marBottom w:val="0"/>
      <w:divBdr>
        <w:top w:val="none" w:sz="0" w:space="0" w:color="auto"/>
        <w:left w:val="none" w:sz="0" w:space="0" w:color="auto"/>
        <w:bottom w:val="none" w:sz="0" w:space="0" w:color="auto"/>
        <w:right w:val="none" w:sz="0" w:space="0" w:color="auto"/>
      </w:divBdr>
    </w:div>
    <w:div w:id="1645574545">
      <w:bodyDiv w:val="1"/>
      <w:marLeft w:val="0"/>
      <w:marRight w:val="0"/>
      <w:marTop w:val="0"/>
      <w:marBottom w:val="0"/>
      <w:divBdr>
        <w:top w:val="none" w:sz="0" w:space="0" w:color="auto"/>
        <w:left w:val="none" w:sz="0" w:space="0" w:color="auto"/>
        <w:bottom w:val="none" w:sz="0" w:space="0" w:color="auto"/>
        <w:right w:val="none" w:sz="0" w:space="0" w:color="auto"/>
      </w:divBdr>
    </w:div>
    <w:div w:id="1780711364">
      <w:bodyDiv w:val="1"/>
      <w:marLeft w:val="0"/>
      <w:marRight w:val="0"/>
      <w:marTop w:val="0"/>
      <w:marBottom w:val="0"/>
      <w:divBdr>
        <w:top w:val="none" w:sz="0" w:space="0" w:color="auto"/>
        <w:left w:val="none" w:sz="0" w:space="0" w:color="auto"/>
        <w:bottom w:val="none" w:sz="0" w:space="0" w:color="auto"/>
        <w:right w:val="none" w:sz="0" w:space="0" w:color="auto"/>
      </w:divBdr>
    </w:div>
    <w:div w:id="184143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10.5.0.233/logAnalyzer.php" TargetMode="External"/><Relationship Id="rId10" Type="http://schemas.openxmlformats.org/officeDocument/2006/relationships/hyperlink" Target="http://10.5.0.233/logAnalyzer.php"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4</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Heaton</dc:creator>
  <cp:keywords/>
  <dc:description/>
  <cp:lastModifiedBy>Zack Heaton</cp:lastModifiedBy>
  <cp:revision>37</cp:revision>
  <dcterms:created xsi:type="dcterms:W3CDTF">2022-03-18T15:05:00Z</dcterms:created>
  <dcterms:modified xsi:type="dcterms:W3CDTF">2022-04-19T22:23:00Z</dcterms:modified>
</cp:coreProperties>
</file>