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INVESTMENT COMMITTEE MEMORANDUM</w:t>
      </w:r>
    </w:p>
    <w:p>
      <w:pPr>
        <w:spacing w:after="20" w:before="0" w:line="25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Dynacast International: LBO returns under Base, Bull and Bear cases</w:t>
      </w:r>
    </w:p>
    <w:p>
      <w:pPr>
        <w:spacing w:after="60" w:before="0" w:line="252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To: Investment Committee   |   From: AI-DDP Thesis Agent, for human review   |   Date: October 5, 2026   |   Basis: case materials and posted model only</w:t>
      </w:r>
    </w:p>
    <w:p>
      <w:pPr>
        <w:keepNext/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Recommendation and headline economics</w:t>
      </w:r>
    </w:p>
    <w:p>
      <w:pPr>
        <w:spacing w:after="60" w:before="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proceed on the posted terms, with the downside owned explicitly. </w:t>
      </w:r>
      <w:r>
        <w:rPr>
          <w:rFonts w:ascii="Calibri" w:cs="Calibri" w:eastAsia="Calibri" w:hAnsi="Calibri"/>
          <w:sz w:val="22"/>
          <w:szCs w:val="22"/>
        </w:rPr>
        <w:t xml:space="preserve">We buy Dynacast at 8.9x PF LTM EBITDA of $123.5M (TEV $1,099M) with a 4.25x Term Loan B and a $576.6M sponsor check [data: model]. The Base case returns 20.6% IRR and 2.55x MOIC; the Bull case 28.9% and 3.56x; the Bear case 12.1% and 1.77x. </w:t>
      </w:r>
      <w:r>
        <w:rPr>
          <w:rFonts w:ascii="Calibri" w:cs="Calibri" w:eastAsia="Calibri" w:hAnsi="Calibri"/>
          <w:sz w:val="22"/>
          <w:szCs w:val="22"/>
        </w:rPr>
        <w:t xml:space="preserve">Bull lands in the 25-30% target band and Bear just clears the 12% floor, with no cushion [assumption: hurdles from the assignment brief; the case gives no fund hurdle]. The deal is an ownership transition: Partners Group buys from exiting financial investors, with existing shareholder Kenner &amp; Company and management rolling equity [data: Case Ex.1]. Return drivers are operating, not financial: in the Base case EBITDA growth supplies 82% of the sponsor's gain and debt paydown 37%, with no multiple expansion assumed.</w:t>
      </w:r>
    </w:p>
    <w:p>
      <w:pPr>
        <w:keepNext/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Case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127"/>
        <w:gridCol w:w="2127"/>
        <w:gridCol w:w="2126"/>
      </w:tblGrid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Bull (upside)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Bear (downside)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Revenue growth, 2015-19 (each year)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9.0%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11.9%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8.0%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EBITDA margin: 2015 / 2016-19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20.0% / 21.0%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20.5% / 21.5%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19.5% / 19.5%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Exit EV / EBITDA (entry 8.9x)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8.90x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10.10x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7.63x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Assumed exit route [assumption]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sale or secondary buyout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sale to strategic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Secondary buyout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2019 revenue / EBITDA ($M)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1,000.1 / 210.0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1,140.4 / 245.2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955.1 / 186.2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 loan at exit ($M) / gross leverage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180.6 / 0.86x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120.8 / 0.49x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241.8 / 1.30x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Exit TEV ($M)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1,869.2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2,476.4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1,420.5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Equity value to all holders at exit ($M)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1,632.5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2,281.3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1,136.1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 proceeds ($M, 90% ownership at exit)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1,469.3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2,053.2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1,022.5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MOIC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2.55x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3.56x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1.77x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IRR (5-year hold)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20.6%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28.9%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12.1%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Versus hurdles (25-30% target; 12% floor)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Above 20% target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 25-30% band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Clears 12% floor by 0.1 pt</w:t>
            </w:r>
          </w:p>
        </w:tc>
      </w:tr>
    </w:tbl>
    <w:p>
      <w:pPr>
        <w:spacing w:after="40" w:before="30" w:line="252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Shaded cells are the three assumptions changed in each scenario; all other inputs, the structure, 3% fees, 5% rollover and 10% exit dilution are as posted. Source: scenario tabs of the workbook [calc: model].</w:t>
      </w:r>
    </w:p>
    <w:p>
      <w:pPr>
        <w:keepNext/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Assumptions changed and rationale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500"/>
        <w:gridCol w:w="598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 to case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 and source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9.0% to 11.9%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2013 sales grew 11.7% ($580.0M vs $519.4M); Asia +14.4% and North America +12.1% [calc: Case Ex.3, Ex.6]. Levers named in the case: 50+ global-account targets, Shanghai model replicated in China, MIM, aluminum [data: Case pp.9-12]. Third-party: TechNavio forecasts 11.89% CAGR for aluminum die casting, 2012-16 [source: TechNavio, cited in Case p.8]; aluminum is 19.8% of revenue [data: Case p.11].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20.0%/21.0% to 20.5%/21.5%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Adjusted margin rose from 18.0% (2012-13) to 19.4% (9M-14); 9M-14 segment margins were 21.0-21.8% before 2.0% corporate cost [calc: Case Ex.6]. Multi-slide technology, in-house tooling and internal re-bidding to spare capacity support scale gains [data: Case pp.10-11]. +0.5 pt keeps margin inside observed segment levels.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Exit multiple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8.9x to 10.1x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1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Partners Group trading comps (11/19/14): Metal &amp; Die Casting median 10.1x T12M EV/EBITDA, mean 11.3x; football-field comps range is 9.2x-12.1x [source: Partners Group, Case Ex.7-8]. We use the median, not the mean.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9.0% to 8.0%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Europe, the slowest segment, grew 8.0% in 2013 ($184.3M vs $170.6M) and the case flags recession, fixed costs and unpredictable demand there [calc: Case Ex.2; data: Ex.10]. No long-term contracts; orders can be delayed or cancelled; auto is 38.2% of sales [data: Case p.14, p.12]. Applied company-wide.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20.0%/21.0% to 19.5% flat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expansion beyond the latest observed 19.4% (9M-14); margin was 18.0% in 2012-13 [calc: Case Ex.6]. Metal costs pass through with a one-month lag and energy costs are unhedged [data: Case Ex.10].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Exit multiple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8.9x to 7.63x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3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end of Partners Group's own LBO valuation range, $942M on $123.5M EBITDA [source: Partners Group, Case Ex.7; calc: model]. Comps trade at 9.2x or more, so this is a stress, not a forecast.</w:t>
            </w:r>
          </w:p>
        </w:tc>
      </w:tr>
    </w:tbl>
    <w:p>
      <w:pPr>
        <w:spacing w:after="40" w:before="30" w:line="252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Sources are limited to the case by instruction. TechNavio and the Partners Group exhibits are third-party material reproduced in the case; no outside research was used.</w:t>
      </w:r>
    </w:p>
    <w:p>
      <w:pPr>
        <w:keepNext/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Returns attribution</w:t>
      </w:r>
    </w:p>
    <w:p>
      <w:pPr>
        <w:spacing w:after="50" w:before="0" w:line="252"/>
      </w:pPr>
      <w:r>
        <w:rPr>
          <w:rFonts w:ascii="Calibri" w:cs="Calibri" w:eastAsia="Calibri" w:hAnsi="Calibri"/>
          <w:sz w:val="22"/>
          <w:szCs w:val="22"/>
        </w:rPr>
        <w:t xml:space="preserve">The bridge first explains the change in equity value for all holders ($607.2M invested at entry: sponsor plus management rollover), then reconciles to the sponsor using the model's ownership: the sponsor holds 94.95% at entry and 90% at exit, the difference being management incentive dilution taken as modeled. Fees are shown because the model funds 3% entry fees with equity and charges 3% at exit; without them the three drivers do not tie.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900"/>
        <w:gridCol w:w="1900"/>
        <w:gridCol w:w="1900"/>
      </w:tblGrid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$ millions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Bear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Equity value, all holders: invested at entry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607.2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607.2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607.2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+ EBITDA growth (at entry multiple)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770.0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1,083.0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558.4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+ Multiple expansion (on exit EBITDA)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294.2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(237.0)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+ Debt paydown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344.3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404.1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283.1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- Entry and exit fees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(89.1)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(107.3)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(75.6)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 = Equity value at exit (ties to model)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1,632.5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2,281.3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1,136.1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equity value created (100%)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1,025.3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1,674.1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528.9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Sponsor share at 94.95% entry ownership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973.5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1,589.6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502.2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- Dilution to 90% exit ownership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(80.8)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(113.0)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(56.3)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 = Sponsor gain (proceeds less $576.6M invested)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892.7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1,476.6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445.9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 MOIC, in turns:  EBITDA growth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1.27x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1.78x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0.92x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Multiple expansion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0.00x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0.48x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-0.39x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Debt paydown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0.57x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0.67x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0.47x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Fees and dilution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-0.29x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-0.37x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-0.22x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Return of capital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1.00x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1.00x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1.00x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 = MOIC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2.55x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3.56x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1.77x</w:t>
            </w:r>
          </w:p>
        </w:tc>
      </w:tr>
    </w:tbl>
    <w:p>
      <w:pPr>
        <w:spacing w:after="40" w:before="4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 it. </w:t>
      </w:r>
      <w:r>
        <w:rPr>
          <w:rFonts w:ascii="Calibri" w:cs="Calibri" w:eastAsia="Calibri" w:hAnsi="Calibri"/>
          <w:sz w:val="22"/>
          <w:szCs w:val="22"/>
        </w:rPr>
        <w:t xml:space="preserve">Base is an operating story: EBITDA growth is 82% of sponsor gain and paydown 37%; fees and dilution give back about 19%. In Bull, multiple expansion adds 0.48x (19% of gain) while EBITDA growth still carries 70%. In Bear, compression to 7.63x costs 0.39x and the return survives only because EBITDA growth and paydown together exceed 100% of the gain. Bridges tie to model exit equity and sponsor proceeds with zero difference [calc: model].</w:t>
      </w:r>
    </w:p>
    <w:p>
      <w:pPr>
        <w:keepNext/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Sensitivity tables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sz w:val="20"/>
          <w:szCs w:val="20"/>
        </w:rPr>
        <w:t xml:space="preserve">Sponsor IRR (MOIC) by entry multiple (down) and exit multiple (across), 5-year hold. Green: IRR at or above 20%; red: below 12% (assumed target and floor). Bold cell = case as modeled.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780"/>
        <w:gridCol w:w="1780"/>
        <w:gridCol w:w="1780"/>
        <w:gridCol w:w="1780"/>
        <w:gridCol w:w="1780"/>
      </w:tblGrid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Base case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6.90x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7.90x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8.90x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9.90x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10.90x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10.9x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6.1% (1.35x)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9.5% (1.57x)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12.4% (1.79x)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15.1% (2.02x)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17.5% (2.24x)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9.9x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9.6% (1.58x)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13.0% (1.84x)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16.1% (2.11x)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18.8% (2.37x)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21.4% (2.63x)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8.9x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13.8% (1.91x)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17.4% (2.23x)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20.6% (2.55x)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23.4% (2.87x)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26.1% (3.18x)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7.9x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19.3% (2.42x)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23.1% (2.82x)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26.4% (3.23x)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29.4% (3.63x)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32.1% (4.03x)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6.9x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26.9% (3.30x)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30.9% (3.84x)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34.4% (4.39x)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37.6% (4.94x)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40.6% (5.49x)</w:t>
            </w:r>
          </w:p>
        </w:tc>
      </w:tr>
    </w:tbl>
    <w:p>
      <w:pPr>
        <w:spacing w:after="30" w:before="0" w:line="12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780"/>
        <w:gridCol w:w="1780"/>
        <w:gridCol w:w="1780"/>
        <w:gridCol w:w="1780"/>
        <w:gridCol w:w="1780"/>
      </w:tblGrid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Bull case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8.10x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9.10x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10.10x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11.10x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12.10x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10.9x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14.7% (1.99x)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17.6% (2.25x)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20.2% (2.51x)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22.6% (2.77x)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24.8% (3.03x)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9.9x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18.4% (2.33x)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21.4% (2.64x)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24.1% (2.94x)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26.6% (3.25x)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28.9% (3.56x)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8.9x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23.0% (2.82x)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26.1% (3.19x)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28.9% (3.56x)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31.5% (3.93x)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33.9% (4.30x)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7.9x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29.0% (3.57x)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32.2% (4.04x)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35.1% (4.51x)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37.8% (4.98x)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40.4% (5.45x)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6.9x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37.2% (4.86x)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40.6% (5.50x)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43.7% (6.14x)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46.6% (6.78x)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49.3% (7.42x)</w:t>
            </w:r>
          </w:p>
        </w:tc>
      </w:tr>
    </w:tbl>
    <w:p>
      <w:pPr>
        <w:spacing w:after="30" w:before="0" w:line="12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780"/>
        <w:gridCol w:w="1780"/>
        <w:gridCol w:w="1780"/>
        <w:gridCol w:w="1780"/>
        <w:gridCol w:w="1780"/>
      </w:tblGrid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Bear case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5.63x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6.63x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7.63x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8.63x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9.63x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10.9x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-3.2% (0.85x)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1.0% (1.05x)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4.5% (1.25x)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7.7% (1.45x)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10.5% (1.65x)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9.9x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0.0% (1.00x)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4.3% (1.23x)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7.9% (1.47x)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11.2% (1.70x)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14.1% (1.93x)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8.9x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3.9% (1.21x)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8.3% (1.49x)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12.1% (1.77x)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15.5% (2.06x)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18.5% (2.34x)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7.9x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8.9% (1.53x)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13.5% (1.89x)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17.6% (2.24x)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21.1% (2.60x)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24.2% (2.96x)</w:t>
            </w:r>
          </w:p>
        </w:tc>
      </w:tr>
      <w:t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Entry 6.9x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15.8% (2.08x)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20.8% (2.57x)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25.0% (3.06x)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28.8% (3.54x)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32.1% (4.03x)</w:t>
            </w:r>
          </w:p>
        </w:tc>
      </w:tr>
    </w:tbl>
    <w:p>
      <w:pPr>
        <w:spacing w:after="30" w:before="0" w:line="12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sz w:val="20"/>
          <w:szCs w:val="20"/>
        </w:rPr>
        <w:t xml:space="preserve">Sponsor IRR (MOIC) by exit year, at each case's own exit multiple and entry at 8.9x.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46"/>
        <w:gridCol w:w="1446"/>
        <w:gridCol w:w="1446"/>
        <w:gridCol w:w="1446"/>
        <w:gridCol w:w="1446"/>
        <w:gridCol w:w="145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Exit year (hold)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 IRR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 MOIC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Bull IRR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Bull MOIC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Bear IRR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Bear MOIC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2017 (3 yrs)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22.0%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1.82x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35.0%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2.46x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7.4%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1.24x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2018 (4 yrs)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21.2%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2.16x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31.3%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2.97x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10.5%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1.49x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2019 (5 yrs)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20.6%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2.55x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28.9%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3.56x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12.1%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1.77x</w:t>
            </w:r>
          </w:p>
        </w:tc>
      </w:tr>
    </w:tbl>
    <w:p>
      <w:pPr>
        <w:spacing w:after="40" w:before="50" w:line="25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 it. </w:t>
      </w:r>
      <w:r>
        <w:rPr>
          <w:rFonts w:ascii="Calibri" w:cs="Calibri" w:eastAsia="Calibri" w:hAnsi="Calibri"/>
          <w:sz w:val="22"/>
          <w:szCs w:val="22"/>
        </w:rPr>
        <w:t xml:space="preserve">One turn of exit multiple moves IRR by roughly 3 to 4 points in Base (17.4% at 7.9x) and Bear (8.3% at one turn below its 7.63x). Paying one turn more at entry costs about 4.5 points in Base (16.1%). Bear is the fragile case: it sits at the floor, and an early 2017 exit at its multiple returns 7.4%, because debt paydown has not yet built. Bull stays at about 23% even two turns below its 10.1x exit multiple (23.0%).</w:t>
      </w:r>
    </w:p>
    <w:p>
      <w:pPr>
        <w:keepNext/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Key risks and judgment calls for the IC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and contract risk. </w:t>
      </w:r>
      <w:r>
        <w:rPr>
          <w:rFonts w:ascii="Calibri" w:cs="Calibri" w:eastAsia="Calibri" w:hAnsi="Calibri"/>
          <w:sz w:val="21"/>
          <w:szCs w:val="21"/>
        </w:rPr>
        <w:t xml:space="preserve">Top 10 customers are 36.4% of sales, the largest 8.0%; there are no long-term contracts and orders can be cancelled [data: Case p.12, Ex.10]. This is the mechanism behind the Bear growth case.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Leverage and rates. </w:t>
      </w:r>
      <w:r>
        <w:rPr>
          <w:rFonts w:ascii="Calibri" w:cs="Calibri" w:eastAsia="Calibri" w:hAnsi="Calibri"/>
          <w:sz w:val="21"/>
          <w:szCs w:val="21"/>
        </w:rPr>
        <w:t xml:space="preserve">The model assumes a 10.08% all-in term loan rate and no hedge; the case says interest exposure is unhedged and covenants include minimum coverage [data: model K21:L21; Case Ex.10]. Rates were not flexed in any case.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people. </w:t>
      </w:r>
      <w:r>
        <w:rPr>
          <w:rFonts w:ascii="Calibri" w:cs="Calibri" w:eastAsia="Calibri" w:hAnsi="Calibri"/>
          <w:sz w:val="21"/>
          <w:szCs w:val="21"/>
        </w:rPr>
        <w:t xml:space="preserve">Four executives, with 21 to 35 years at Dynacast, run the business and the case flags their loss as a material risk [data: Case Ex.9-10]. Management assessment rested on the case biographies alone, a thin basis for a fit judgment.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Judgment calls we ask the IC to own. </w:t>
      </w:r>
      <w:r>
        <w:rPr>
          <w:rFonts w:ascii="Calibri" w:cs="Calibri" w:eastAsia="Calibri" w:hAnsi="Calibri"/>
          <w:sz w:val="21"/>
          <w:szCs w:val="21"/>
        </w:rPr>
        <w:t xml:space="preserve">(1) Hurdles of 20% / 2.5x target and 12% floor are assumptions; no fund hurdle was supplied. (2) Bear clears the floor by 0.1 point, a result of picking Bear inputs from case facts, not of solving to a target. (3) TechNavio's 11.89% forecast covers 2012-16 but is applied through 2019. (4) The model's single term loan and 90% exit ownership govern over the case's multi-tranche structure, as instructed. (5) Exit routes are assumptions; Bear arguably also needs a weaker route than Base.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2026-10-05T03:02:38.756Z</dcterms:created>
  <dcterms:modified xsi:type="dcterms:W3CDTF">2026-10-05T03:02:38.756Z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