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7BD918" w14:textId="4729A2F3" w:rsidR="00610CE3" w:rsidRDefault="00CB0122">
      <w:pPr>
        <w:spacing w:after="40"/>
        <w:jc w:val="center"/>
      </w:pPr>
      <w:r>
        <w:rPr>
          <w:b/>
          <w:bCs/>
          <w:sz w:val="36"/>
          <w:szCs w:val="36"/>
        </w:rPr>
        <w:t>Partners Group</w:t>
      </w:r>
    </w:p>
    <w:p w14:paraId="2C444C81" w14:textId="5C131E47" w:rsidR="00610CE3" w:rsidRDefault="00000000">
      <w:pPr>
        <w:spacing w:after="60"/>
        <w:jc w:val="center"/>
      </w:pPr>
      <w:r>
        <w:rPr>
          <w:b/>
          <w:bCs/>
          <w:sz w:val="28"/>
          <w:szCs w:val="28"/>
        </w:rPr>
        <w:t xml:space="preserve">Investment Committee Memorandum — </w:t>
      </w:r>
      <w:r w:rsidR="00CB0122">
        <w:rPr>
          <w:b/>
          <w:bCs/>
          <w:sz w:val="28"/>
          <w:szCs w:val="28"/>
        </w:rPr>
        <w:t>Scenario</w:t>
      </w:r>
      <w:r>
        <w:rPr>
          <w:b/>
          <w:bCs/>
          <w:sz w:val="28"/>
          <w:szCs w:val="28"/>
        </w:rPr>
        <w:t xml:space="preserve"> Analysis</w:t>
      </w:r>
      <w:r w:rsidR="00CB0122">
        <w:rPr>
          <w:b/>
          <w:bCs/>
          <w:sz w:val="28"/>
          <w:szCs w:val="28"/>
        </w:rPr>
        <w:t xml:space="preserve"> &amp; Returns Attribution</w:t>
      </w:r>
    </w:p>
    <w:tbl>
      <w:tblPr>
        <w:tblW w:w="6600" w:type="dxa"/>
        <w:tblBorders>
          <w:top w:val="dotted" w:sz="4" w:space="0" w:color="7F7F7F"/>
          <w:left w:val="dotted" w:sz="4" w:space="0" w:color="7F7F7F"/>
          <w:bottom w:val="dotted" w:sz="4" w:space="0" w:color="7F7F7F"/>
          <w:right w:val="dotted" w:sz="4" w:space="0" w:color="7F7F7F"/>
          <w:insideH w:val="dotted" w:sz="4" w:space="0" w:color="7F7F7F"/>
          <w:insideV w:val="dotted" w:sz="4" w:space="0" w:color="7F7F7F"/>
        </w:tblBorders>
        <w:tblLayout w:type="fixed"/>
        <w:tblCellMar>
          <w:left w:w="100" w:type="dxa"/>
          <w:right w:w="100" w:type="dxa"/>
        </w:tblCellMar>
        <w:tblLook w:val="04A0" w:firstRow="1" w:lastRow="0" w:firstColumn="1" w:lastColumn="0" w:noHBand="0" w:noVBand="1"/>
      </w:tblPr>
      <w:tblGrid>
        <w:gridCol w:w="1400"/>
        <w:gridCol w:w="5200"/>
      </w:tblGrid>
      <w:tr w:rsidR="00610CE3" w14:paraId="13F406C7" w14:textId="77777777">
        <w:tc>
          <w:tcPr>
            <w:tcW w:w="1400" w:type="dxa"/>
          </w:tcPr>
          <w:p w14:paraId="5337C216" w14:textId="77777777" w:rsidR="00610CE3" w:rsidRDefault="00000000">
            <w:r>
              <w:rPr>
                <w:b/>
                <w:bCs/>
              </w:rPr>
              <w:t>Date:</w:t>
            </w:r>
          </w:p>
        </w:tc>
        <w:tc>
          <w:tcPr>
            <w:tcW w:w="5200" w:type="dxa"/>
          </w:tcPr>
          <w:p w14:paraId="1D1D9BF0" w14:textId="77777777" w:rsidR="00610CE3" w:rsidRDefault="00000000">
            <w:r>
              <w:t>October 5, 2026</w:t>
            </w:r>
          </w:p>
        </w:tc>
      </w:tr>
      <w:tr w:rsidR="00610CE3" w14:paraId="5546BF67" w14:textId="77777777">
        <w:tc>
          <w:tcPr>
            <w:tcW w:w="1400" w:type="dxa"/>
          </w:tcPr>
          <w:p w14:paraId="13B4C9CD" w14:textId="77777777" w:rsidR="00610CE3" w:rsidRDefault="00000000">
            <w:r>
              <w:rPr>
                <w:b/>
                <w:bCs/>
              </w:rPr>
              <w:t>To:</w:t>
            </w:r>
          </w:p>
        </w:tc>
        <w:tc>
          <w:tcPr>
            <w:tcW w:w="5200" w:type="dxa"/>
          </w:tcPr>
          <w:p w14:paraId="19AE7838" w14:textId="77777777" w:rsidR="00610CE3" w:rsidRDefault="00000000">
            <w:r>
              <w:t>Joel Schwartz, Managing Director, Partners Group</w:t>
            </w:r>
          </w:p>
        </w:tc>
      </w:tr>
      <w:tr w:rsidR="00610CE3" w14:paraId="2A01E4E1" w14:textId="77777777">
        <w:tc>
          <w:tcPr>
            <w:tcW w:w="1400" w:type="dxa"/>
          </w:tcPr>
          <w:p w14:paraId="1629C210" w14:textId="77777777" w:rsidR="00610CE3" w:rsidRDefault="00000000">
            <w:r>
              <w:rPr>
                <w:b/>
                <w:bCs/>
              </w:rPr>
              <w:t>From:</w:t>
            </w:r>
          </w:p>
        </w:tc>
        <w:tc>
          <w:tcPr>
            <w:tcW w:w="5200" w:type="dxa"/>
          </w:tcPr>
          <w:p w14:paraId="5B06AC03" w14:textId="77777777" w:rsidR="00610CE3" w:rsidRDefault="00000000">
            <w:r>
              <w:t>Zion Kidd</w:t>
            </w:r>
          </w:p>
        </w:tc>
      </w:tr>
      <w:tr w:rsidR="00610CE3" w14:paraId="1F8AF3E2" w14:textId="77777777">
        <w:tc>
          <w:tcPr>
            <w:tcW w:w="1400" w:type="dxa"/>
          </w:tcPr>
          <w:p w14:paraId="25B653E5" w14:textId="77777777" w:rsidR="00610CE3" w:rsidRDefault="00000000">
            <w:r>
              <w:rPr>
                <w:b/>
                <w:bCs/>
              </w:rPr>
              <w:t>Re:</w:t>
            </w:r>
          </w:p>
        </w:tc>
        <w:tc>
          <w:tcPr>
            <w:tcW w:w="5200" w:type="dxa"/>
          </w:tcPr>
          <w:p w14:paraId="5EBD4EF5" w14:textId="77777777" w:rsidR="00610CE3" w:rsidRDefault="00000000">
            <w:r>
              <w:t>Dynacast International — LBO Returns Analysis: Base, Bull and Bear Cases</w:t>
            </w:r>
          </w:p>
        </w:tc>
      </w:tr>
    </w:tbl>
    <w:p w14:paraId="30BAE7A4" w14:textId="77777777" w:rsidR="00610CE3" w:rsidRDefault="00610CE3">
      <w:pPr>
        <w:spacing w:after="40"/>
      </w:pPr>
    </w:p>
    <w:p w14:paraId="0D553D72" w14:textId="1CA44F66" w:rsidR="000B3DF0" w:rsidRDefault="00000000">
      <w:pPr>
        <w:keepNext/>
        <w:pBdr>
          <w:bottom w:val="single" w:sz="6" w:space="1" w:color="1F3864"/>
        </w:pBdr>
        <w:spacing w:before="140" w:after="60"/>
      </w:pPr>
      <w:r>
        <w:rPr>
          <w:b/>
          <w:bCs/>
          <w:color w:val="1F3864"/>
          <w:sz w:val="24"/>
          <w:szCs w:val="24"/>
        </w:rPr>
        <w:t>1. Recommendation</w:t>
      </w:r>
    </w:p>
    <w:p w14:paraId="1A23011A" w14:textId="5D8B9A22" w:rsidR="000B3DF0" w:rsidRDefault="00000000">
      <w:pPr>
        <w:spacing w:after="60" w:line="252" w:lineRule="auto"/>
      </w:pPr>
      <w:r>
        <w:rPr>
          <w:b/>
          <w:bCs/>
        </w:rPr>
        <w:t xml:space="preserve">Recommendation: </w:t>
      </w:r>
      <w:r w:rsidRPr="00CB0122">
        <w:rPr>
          <w:b/>
          <w:bCs/>
        </w:rPr>
        <w:t xml:space="preserve">Partners Group should buy </w:t>
      </w:r>
      <w:proofErr w:type="spellStart"/>
      <w:r w:rsidRPr="00CB0122">
        <w:rPr>
          <w:b/>
          <w:bCs/>
        </w:rPr>
        <w:t>Dynacast</w:t>
      </w:r>
      <w:proofErr w:type="spellEnd"/>
      <w:r w:rsidRPr="00CB0122">
        <w:rPr>
          <w:b/>
          <w:bCs/>
        </w:rPr>
        <w:t xml:space="preserve"> at 8.9x PF LTM EBITDA of $123.5M (TEV $1,099M) with a 4.25x Term Loan B and a $576.6M sponsor check. </w:t>
      </w:r>
      <w:r>
        <w:t>The Base case returns 20.6% IRR and 2.55x MOIC; the Bull case 28.9% and 3.56x; the Bear case 12.1% and 1.77x. Bull lands in the 25-30% target band and Bear just clears the 12% floor, with no cushion [assumption: hurdles from the assignment brief; the case gives no fund hurdle]. The deal is an ownership transition: Partners Group buys from exiting financial investors, with existing shareholder Kenner &amp; Company and management rolling equity</w:t>
      </w:r>
      <w:r w:rsidR="00CB0122">
        <w:t xml:space="preserve">. </w:t>
      </w:r>
      <w:r>
        <w:t>Return drivers are operating, not financial: in the Base case EBITDA growth supplies 82% of the sponsor's gain and debt paydown 37%, with no multiple expansion assumed.</w:t>
      </w:r>
    </w:p>
    <w:p w14:paraId="4BEE0F3F" w14:textId="01C12AE1" w:rsidR="000B3DF0" w:rsidRDefault="00000000">
      <w:pPr>
        <w:keepNext/>
        <w:pBdr>
          <w:bottom w:val="single" w:sz="6" w:space="1" w:color="1F3864"/>
        </w:pBdr>
        <w:spacing w:before="140" w:after="60"/>
      </w:pPr>
      <w:r>
        <w:rPr>
          <w:b/>
          <w:bCs/>
          <w:color w:val="1F3864"/>
          <w:sz w:val="24"/>
          <w:szCs w:val="24"/>
        </w:rPr>
        <w:t xml:space="preserve">2. Case </w:t>
      </w:r>
      <w:r w:rsidR="00CB0122">
        <w:rPr>
          <w:b/>
          <w:bCs/>
          <w:color w:val="1F3864"/>
          <w:sz w:val="24"/>
          <w:szCs w:val="24"/>
        </w:rPr>
        <w:t>C</w:t>
      </w:r>
      <w:r>
        <w:rPr>
          <w:b/>
          <w:bCs/>
          <w:color w:val="1F3864"/>
          <w:sz w:val="24"/>
          <w:szCs w:val="24"/>
        </w:rPr>
        <w:t>omparison</w:t>
      </w:r>
      <w:r w:rsidR="00CB0122">
        <w:rPr>
          <w:b/>
          <w:bCs/>
          <w:color w:val="1F3864"/>
          <w:sz w:val="24"/>
          <w:szCs w:val="24"/>
        </w:rPr>
        <w:t xml:space="preserve"> + Analysis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00"/>
        <w:gridCol w:w="2127"/>
        <w:gridCol w:w="2127"/>
        <w:gridCol w:w="2126"/>
      </w:tblGrid>
      <w:tr w:rsidR="000B3DF0" w14:paraId="12AE46DE" w14:textId="77777777">
        <w:tc>
          <w:tcPr>
            <w:tcW w:w="3700" w:type="dxa"/>
            <w:tcBorders>
              <w:top w:val="single" w:sz="4" w:space="0" w:color="BFBFBF"/>
              <w:left w:val="single" w:sz="4" w:space="0" w:color="BFBFBF"/>
              <w:bottom w:val="single" w:sz="4" w:space="0" w:color="BFBFBF"/>
              <w:right w:val="single" w:sz="4" w:space="0" w:color="BFBFBF"/>
            </w:tcBorders>
            <w:shd w:val="clear" w:color="auto" w:fill="1F3864"/>
            <w:tcMar>
              <w:top w:w="20" w:type="dxa"/>
              <w:left w:w="60" w:type="dxa"/>
              <w:bottom w:w="20" w:type="dxa"/>
              <w:right w:w="60" w:type="dxa"/>
            </w:tcMar>
            <w:vAlign w:val="center"/>
          </w:tcPr>
          <w:p w14:paraId="06CBC4B3" w14:textId="77777777" w:rsidR="000B3DF0" w:rsidRDefault="00000000">
            <w:pPr>
              <w:spacing w:line="228" w:lineRule="auto"/>
            </w:pPr>
            <w:r>
              <w:rPr>
                <w:b/>
                <w:bCs/>
                <w:color w:val="FFFFFF"/>
                <w:sz w:val="17"/>
                <w:szCs w:val="17"/>
              </w:rPr>
              <w:t>Metric</w:t>
            </w:r>
          </w:p>
        </w:tc>
        <w:tc>
          <w:tcPr>
            <w:tcW w:w="2127" w:type="dxa"/>
            <w:tcBorders>
              <w:top w:val="single" w:sz="4" w:space="0" w:color="BFBFBF"/>
              <w:left w:val="single" w:sz="4" w:space="0" w:color="BFBFBF"/>
              <w:bottom w:val="single" w:sz="4" w:space="0" w:color="BFBFBF"/>
              <w:right w:val="single" w:sz="4" w:space="0" w:color="BFBFBF"/>
            </w:tcBorders>
            <w:shd w:val="clear" w:color="auto" w:fill="1F3864"/>
            <w:tcMar>
              <w:top w:w="20" w:type="dxa"/>
              <w:left w:w="60" w:type="dxa"/>
              <w:bottom w:w="20" w:type="dxa"/>
              <w:right w:w="60" w:type="dxa"/>
            </w:tcMar>
            <w:vAlign w:val="center"/>
          </w:tcPr>
          <w:p w14:paraId="5245AE37" w14:textId="77777777" w:rsidR="000B3DF0" w:rsidRDefault="00000000">
            <w:pPr>
              <w:spacing w:line="228" w:lineRule="auto"/>
              <w:jc w:val="center"/>
            </w:pPr>
            <w:r>
              <w:rPr>
                <w:b/>
                <w:bCs/>
                <w:color w:val="FFFFFF"/>
                <w:sz w:val="17"/>
                <w:szCs w:val="17"/>
              </w:rPr>
              <w:t>Base</w:t>
            </w:r>
          </w:p>
        </w:tc>
        <w:tc>
          <w:tcPr>
            <w:tcW w:w="2127" w:type="dxa"/>
            <w:tcBorders>
              <w:top w:val="single" w:sz="4" w:space="0" w:color="BFBFBF"/>
              <w:left w:val="single" w:sz="4" w:space="0" w:color="BFBFBF"/>
              <w:bottom w:val="single" w:sz="4" w:space="0" w:color="BFBFBF"/>
              <w:right w:val="single" w:sz="4" w:space="0" w:color="BFBFBF"/>
            </w:tcBorders>
            <w:shd w:val="clear" w:color="auto" w:fill="1F3864"/>
            <w:tcMar>
              <w:top w:w="20" w:type="dxa"/>
              <w:left w:w="60" w:type="dxa"/>
              <w:bottom w:w="20" w:type="dxa"/>
              <w:right w:w="60" w:type="dxa"/>
            </w:tcMar>
            <w:vAlign w:val="center"/>
          </w:tcPr>
          <w:p w14:paraId="56394DBE" w14:textId="77777777" w:rsidR="000B3DF0" w:rsidRDefault="00000000">
            <w:pPr>
              <w:spacing w:line="228" w:lineRule="auto"/>
              <w:jc w:val="center"/>
            </w:pPr>
            <w:r>
              <w:rPr>
                <w:b/>
                <w:bCs/>
                <w:color w:val="FFFFFF"/>
                <w:sz w:val="17"/>
                <w:szCs w:val="17"/>
              </w:rPr>
              <w:t>Bull (upside)</w:t>
            </w:r>
          </w:p>
        </w:tc>
        <w:tc>
          <w:tcPr>
            <w:tcW w:w="2126" w:type="dxa"/>
            <w:tcBorders>
              <w:top w:val="single" w:sz="4" w:space="0" w:color="BFBFBF"/>
              <w:left w:val="single" w:sz="4" w:space="0" w:color="BFBFBF"/>
              <w:bottom w:val="single" w:sz="4" w:space="0" w:color="BFBFBF"/>
              <w:right w:val="single" w:sz="4" w:space="0" w:color="BFBFBF"/>
            </w:tcBorders>
            <w:shd w:val="clear" w:color="auto" w:fill="1F3864"/>
            <w:tcMar>
              <w:top w:w="20" w:type="dxa"/>
              <w:left w:w="60" w:type="dxa"/>
              <w:bottom w:w="20" w:type="dxa"/>
              <w:right w:w="60" w:type="dxa"/>
            </w:tcMar>
            <w:vAlign w:val="center"/>
          </w:tcPr>
          <w:p w14:paraId="6F686316" w14:textId="77777777" w:rsidR="000B3DF0" w:rsidRDefault="00000000">
            <w:pPr>
              <w:spacing w:line="228" w:lineRule="auto"/>
              <w:jc w:val="center"/>
            </w:pPr>
            <w:r>
              <w:rPr>
                <w:b/>
                <w:bCs/>
                <w:color w:val="FFFFFF"/>
                <w:sz w:val="17"/>
                <w:szCs w:val="17"/>
              </w:rPr>
              <w:t>Bear (downside)</w:t>
            </w:r>
          </w:p>
        </w:tc>
      </w:tr>
      <w:tr w:rsidR="000B3DF0" w14:paraId="5B97B0B5" w14:textId="77777777">
        <w:tc>
          <w:tcPr>
            <w:tcW w:w="3700" w:type="dxa"/>
            <w:tcBorders>
              <w:top w:val="single" w:sz="4" w:space="0" w:color="BFBFBF"/>
              <w:left w:val="single" w:sz="4" w:space="0" w:color="BFBFBF"/>
              <w:bottom w:val="single" w:sz="4" w:space="0" w:color="BFBFBF"/>
              <w:right w:val="single" w:sz="4" w:space="0" w:color="BFBFBF"/>
            </w:tcBorders>
            <w:tcMar>
              <w:top w:w="20" w:type="dxa"/>
              <w:left w:w="60" w:type="dxa"/>
              <w:bottom w:w="20" w:type="dxa"/>
              <w:right w:w="60" w:type="dxa"/>
            </w:tcMar>
            <w:vAlign w:val="center"/>
          </w:tcPr>
          <w:p w14:paraId="42E18080" w14:textId="77777777" w:rsidR="000B3DF0" w:rsidRDefault="00000000">
            <w:pPr>
              <w:spacing w:line="228" w:lineRule="auto"/>
            </w:pPr>
            <w:r>
              <w:rPr>
                <w:sz w:val="17"/>
                <w:szCs w:val="17"/>
              </w:rPr>
              <w:t>Revenue growth, 2015-19 (each year)</w:t>
            </w:r>
          </w:p>
        </w:tc>
        <w:tc>
          <w:tcPr>
            <w:tcW w:w="2127" w:type="dxa"/>
            <w:tcBorders>
              <w:top w:val="single" w:sz="4" w:space="0" w:color="BFBFBF"/>
              <w:left w:val="single" w:sz="4" w:space="0" w:color="BFBFBF"/>
              <w:bottom w:val="single" w:sz="4" w:space="0" w:color="BFBFBF"/>
              <w:right w:val="single" w:sz="4" w:space="0" w:color="BFBFBF"/>
            </w:tcBorders>
            <w:tcMar>
              <w:top w:w="20" w:type="dxa"/>
              <w:left w:w="60" w:type="dxa"/>
              <w:bottom w:w="20" w:type="dxa"/>
              <w:right w:w="60" w:type="dxa"/>
            </w:tcMar>
            <w:vAlign w:val="center"/>
          </w:tcPr>
          <w:p w14:paraId="600B7DC6" w14:textId="77777777" w:rsidR="000B3DF0" w:rsidRDefault="00000000">
            <w:pPr>
              <w:spacing w:line="228" w:lineRule="auto"/>
              <w:jc w:val="center"/>
            </w:pPr>
            <w:r>
              <w:rPr>
                <w:sz w:val="17"/>
                <w:szCs w:val="17"/>
              </w:rPr>
              <w:t>9.0%</w:t>
            </w:r>
          </w:p>
        </w:tc>
        <w:tc>
          <w:tcPr>
            <w:tcW w:w="2127" w:type="dxa"/>
            <w:tcBorders>
              <w:top w:val="single" w:sz="4" w:space="0" w:color="BFBFBF"/>
              <w:left w:val="single" w:sz="4" w:space="0" w:color="BFBFBF"/>
              <w:bottom w:val="single" w:sz="4" w:space="0" w:color="BFBFBF"/>
              <w:right w:val="single" w:sz="4" w:space="0" w:color="BFBFBF"/>
            </w:tcBorders>
            <w:shd w:val="clear" w:color="auto" w:fill="FFF2CC"/>
            <w:tcMar>
              <w:top w:w="20" w:type="dxa"/>
              <w:left w:w="60" w:type="dxa"/>
              <w:bottom w:w="20" w:type="dxa"/>
              <w:right w:w="60" w:type="dxa"/>
            </w:tcMar>
            <w:vAlign w:val="center"/>
          </w:tcPr>
          <w:p w14:paraId="33E4F583" w14:textId="77777777" w:rsidR="000B3DF0" w:rsidRDefault="00000000">
            <w:pPr>
              <w:spacing w:line="228" w:lineRule="auto"/>
              <w:jc w:val="center"/>
            </w:pPr>
            <w:r>
              <w:rPr>
                <w:sz w:val="17"/>
                <w:szCs w:val="17"/>
              </w:rPr>
              <w:t>11.9%</w:t>
            </w:r>
          </w:p>
        </w:tc>
        <w:tc>
          <w:tcPr>
            <w:tcW w:w="2126" w:type="dxa"/>
            <w:tcBorders>
              <w:top w:val="single" w:sz="4" w:space="0" w:color="BFBFBF"/>
              <w:left w:val="single" w:sz="4" w:space="0" w:color="BFBFBF"/>
              <w:bottom w:val="single" w:sz="4" w:space="0" w:color="BFBFBF"/>
              <w:right w:val="single" w:sz="4" w:space="0" w:color="BFBFBF"/>
            </w:tcBorders>
            <w:shd w:val="clear" w:color="auto" w:fill="FFF2CC"/>
            <w:tcMar>
              <w:top w:w="20" w:type="dxa"/>
              <w:left w:w="60" w:type="dxa"/>
              <w:bottom w:w="20" w:type="dxa"/>
              <w:right w:w="60" w:type="dxa"/>
            </w:tcMar>
            <w:vAlign w:val="center"/>
          </w:tcPr>
          <w:p w14:paraId="71AB8199" w14:textId="77777777" w:rsidR="000B3DF0" w:rsidRDefault="00000000">
            <w:pPr>
              <w:spacing w:line="228" w:lineRule="auto"/>
              <w:jc w:val="center"/>
            </w:pPr>
            <w:r>
              <w:rPr>
                <w:sz w:val="17"/>
                <w:szCs w:val="17"/>
              </w:rPr>
              <w:t>8.0%</w:t>
            </w:r>
          </w:p>
        </w:tc>
      </w:tr>
      <w:tr w:rsidR="000B3DF0" w14:paraId="1B0A3104" w14:textId="77777777">
        <w:tc>
          <w:tcPr>
            <w:tcW w:w="3700" w:type="dxa"/>
            <w:tcBorders>
              <w:top w:val="single" w:sz="4" w:space="0" w:color="BFBFBF"/>
              <w:left w:val="single" w:sz="4" w:space="0" w:color="BFBFBF"/>
              <w:bottom w:val="single" w:sz="4" w:space="0" w:color="BFBFBF"/>
              <w:right w:val="single" w:sz="4" w:space="0" w:color="BFBFBF"/>
            </w:tcBorders>
            <w:tcMar>
              <w:top w:w="20" w:type="dxa"/>
              <w:left w:w="60" w:type="dxa"/>
              <w:bottom w:w="20" w:type="dxa"/>
              <w:right w:w="60" w:type="dxa"/>
            </w:tcMar>
            <w:vAlign w:val="center"/>
          </w:tcPr>
          <w:p w14:paraId="6562FFC5" w14:textId="77777777" w:rsidR="000B3DF0" w:rsidRDefault="00000000">
            <w:pPr>
              <w:spacing w:line="228" w:lineRule="auto"/>
            </w:pPr>
            <w:r>
              <w:rPr>
                <w:sz w:val="17"/>
                <w:szCs w:val="17"/>
              </w:rPr>
              <w:t>EBITDA margin: 2015 / 2016-19</w:t>
            </w:r>
          </w:p>
        </w:tc>
        <w:tc>
          <w:tcPr>
            <w:tcW w:w="2127" w:type="dxa"/>
            <w:tcBorders>
              <w:top w:val="single" w:sz="4" w:space="0" w:color="BFBFBF"/>
              <w:left w:val="single" w:sz="4" w:space="0" w:color="BFBFBF"/>
              <w:bottom w:val="single" w:sz="4" w:space="0" w:color="BFBFBF"/>
              <w:right w:val="single" w:sz="4" w:space="0" w:color="BFBFBF"/>
            </w:tcBorders>
            <w:tcMar>
              <w:top w:w="20" w:type="dxa"/>
              <w:left w:w="60" w:type="dxa"/>
              <w:bottom w:w="20" w:type="dxa"/>
              <w:right w:w="60" w:type="dxa"/>
            </w:tcMar>
            <w:vAlign w:val="center"/>
          </w:tcPr>
          <w:p w14:paraId="21FB179D" w14:textId="77777777" w:rsidR="000B3DF0" w:rsidRDefault="00000000">
            <w:pPr>
              <w:spacing w:line="228" w:lineRule="auto"/>
              <w:jc w:val="center"/>
            </w:pPr>
            <w:r>
              <w:rPr>
                <w:sz w:val="17"/>
                <w:szCs w:val="17"/>
              </w:rPr>
              <w:t>20.0% / 21.0%</w:t>
            </w:r>
          </w:p>
        </w:tc>
        <w:tc>
          <w:tcPr>
            <w:tcW w:w="2127" w:type="dxa"/>
            <w:tcBorders>
              <w:top w:val="single" w:sz="4" w:space="0" w:color="BFBFBF"/>
              <w:left w:val="single" w:sz="4" w:space="0" w:color="BFBFBF"/>
              <w:bottom w:val="single" w:sz="4" w:space="0" w:color="BFBFBF"/>
              <w:right w:val="single" w:sz="4" w:space="0" w:color="BFBFBF"/>
            </w:tcBorders>
            <w:shd w:val="clear" w:color="auto" w:fill="FFF2CC"/>
            <w:tcMar>
              <w:top w:w="20" w:type="dxa"/>
              <w:left w:w="60" w:type="dxa"/>
              <w:bottom w:w="20" w:type="dxa"/>
              <w:right w:w="60" w:type="dxa"/>
            </w:tcMar>
            <w:vAlign w:val="center"/>
          </w:tcPr>
          <w:p w14:paraId="38C59CDB" w14:textId="77777777" w:rsidR="000B3DF0" w:rsidRDefault="00000000">
            <w:pPr>
              <w:spacing w:line="228" w:lineRule="auto"/>
              <w:jc w:val="center"/>
            </w:pPr>
            <w:r>
              <w:rPr>
                <w:sz w:val="17"/>
                <w:szCs w:val="17"/>
              </w:rPr>
              <w:t>20.5% / 21.5%</w:t>
            </w:r>
          </w:p>
        </w:tc>
        <w:tc>
          <w:tcPr>
            <w:tcW w:w="2126" w:type="dxa"/>
            <w:tcBorders>
              <w:top w:val="single" w:sz="4" w:space="0" w:color="BFBFBF"/>
              <w:left w:val="single" w:sz="4" w:space="0" w:color="BFBFBF"/>
              <w:bottom w:val="single" w:sz="4" w:space="0" w:color="BFBFBF"/>
              <w:right w:val="single" w:sz="4" w:space="0" w:color="BFBFBF"/>
            </w:tcBorders>
            <w:shd w:val="clear" w:color="auto" w:fill="FFF2CC"/>
            <w:tcMar>
              <w:top w:w="20" w:type="dxa"/>
              <w:left w:w="60" w:type="dxa"/>
              <w:bottom w:w="20" w:type="dxa"/>
              <w:right w:w="60" w:type="dxa"/>
            </w:tcMar>
            <w:vAlign w:val="center"/>
          </w:tcPr>
          <w:p w14:paraId="101F4797" w14:textId="77777777" w:rsidR="000B3DF0" w:rsidRDefault="00000000">
            <w:pPr>
              <w:spacing w:line="228" w:lineRule="auto"/>
              <w:jc w:val="center"/>
            </w:pPr>
            <w:r>
              <w:rPr>
                <w:sz w:val="17"/>
                <w:szCs w:val="17"/>
              </w:rPr>
              <w:t>19.5% / 19.5%</w:t>
            </w:r>
          </w:p>
        </w:tc>
      </w:tr>
      <w:tr w:rsidR="000B3DF0" w14:paraId="620F7A81" w14:textId="77777777">
        <w:tc>
          <w:tcPr>
            <w:tcW w:w="3700" w:type="dxa"/>
            <w:tcBorders>
              <w:top w:val="single" w:sz="4" w:space="0" w:color="BFBFBF"/>
              <w:left w:val="single" w:sz="4" w:space="0" w:color="BFBFBF"/>
              <w:bottom w:val="single" w:sz="4" w:space="0" w:color="BFBFBF"/>
              <w:right w:val="single" w:sz="4" w:space="0" w:color="BFBFBF"/>
            </w:tcBorders>
            <w:tcMar>
              <w:top w:w="20" w:type="dxa"/>
              <w:left w:w="60" w:type="dxa"/>
              <w:bottom w:w="20" w:type="dxa"/>
              <w:right w:w="60" w:type="dxa"/>
            </w:tcMar>
            <w:vAlign w:val="center"/>
          </w:tcPr>
          <w:p w14:paraId="71073307" w14:textId="44C8D60A" w:rsidR="000B3DF0" w:rsidRDefault="00000000">
            <w:pPr>
              <w:spacing w:line="228" w:lineRule="auto"/>
            </w:pPr>
            <w:r>
              <w:rPr>
                <w:sz w:val="17"/>
                <w:szCs w:val="17"/>
              </w:rPr>
              <w:t xml:space="preserve">Exit EV / EBITDA </w:t>
            </w:r>
          </w:p>
        </w:tc>
        <w:tc>
          <w:tcPr>
            <w:tcW w:w="2127" w:type="dxa"/>
            <w:tcBorders>
              <w:top w:val="single" w:sz="4" w:space="0" w:color="BFBFBF"/>
              <w:left w:val="single" w:sz="4" w:space="0" w:color="BFBFBF"/>
              <w:bottom w:val="single" w:sz="4" w:space="0" w:color="BFBFBF"/>
              <w:right w:val="single" w:sz="4" w:space="0" w:color="BFBFBF"/>
            </w:tcBorders>
            <w:tcMar>
              <w:top w:w="20" w:type="dxa"/>
              <w:left w:w="60" w:type="dxa"/>
              <w:bottom w:w="20" w:type="dxa"/>
              <w:right w:w="60" w:type="dxa"/>
            </w:tcMar>
            <w:vAlign w:val="center"/>
          </w:tcPr>
          <w:p w14:paraId="3C3D85CF" w14:textId="77777777" w:rsidR="000B3DF0" w:rsidRDefault="00000000">
            <w:pPr>
              <w:spacing w:line="228" w:lineRule="auto"/>
              <w:jc w:val="center"/>
            </w:pPr>
            <w:r>
              <w:rPr>
                <w:sz w:val="17"/>
                <w:szCs w:val="17"/>
              </w:rPr>
              <w:t>8.90x</w:t>
            </w:r>
          </w:p>
        </w:tc>
        <w:tc>
          <w:tcPr>
            <w:tcW w:w="2127" w:type="dxa"/>
            <w:tcBorders>
              <w:top w:val="single" w:sz="4" w:space="0" w:color="BFBFBF"/>
              <w:left w:val="single" w:sz="4" w:space="0" w:color="BFBFBF"/>
              <w:bottom w:val="single" w:sz="4" w:space="0" w:color="BFBFBF"/>
              <w:right w:val="single" w:sz="4" w:space="0" w:color="BFBFBF"/>
            </w:tcBorders>
            <w:shd w:val="clear" w:color="auto" w:fill="FFF2CC"/>
            <w:tcMar>
              <w:top w:w="20" w:type="dxa"/>
              <w:left w:w="60" w:type="dxa"/>
              <w:bottom w:w="20" w:type="dxa"/>
              <w:right w:w="60" w:type="dxa"/>
            </w:tcMar>
            <w:vAlign w:val="center"/>
          </w:tcPr>
          <w:p w14:paraId="1F433031" w14:textId="77777777" w:rsidR="000B3DF0" w:rsidRDefault="00000000">
            <w:pPr>
              <w:spacing w:line="228" w:lineRule="auto"/>
              <w:jc w:val="center"/>
            </w:pPr>
            <w:r>
              <w:rPr>
                <w:sz w:val="17"/>
                <w:szCs w:val="17"/>
              </w:rPr>
              <w:t>10.10x</w:t>
            </w:r>
          </w:p>
        </w:tc>
        <w:tc>
          <w:tcPr>
            <w:tcW w:w="2126" w:type="dxa"/>
            <w:tcBorders>
              <w:top w:val="single" w:sz="4" w:space="0" w:color="BFBFBF"/>
              <w:left w:val="single" w:sz="4" w:space="0" w:color="BFBFBF"/>
              <w:bottom w:val="single" w:sz="4" w:space="0" w:color="BFBFBF"/>
              <w:right w:val="single" w:sz="4" w:space="0" w:color="BFBFBF"/>
            </w:tcBorders>
            <w:shd w:val="clear" w:color="auto" w:fill="FFF2CC"/>
            <w:tcMar>
              <w:top w:w="20" w:type="dxa"/>
              <w:left w:w="60" w:type="dxa"/>
              <w:bottom w:w="20" w:type="dxa"/>
              <w:right w:w="60" w:type="dxa"/>
            </w:tcMar>
            <w:vAlign w:val="center"/>
          </w:tcPr>
          <w:p w14:paraId="6F9C810B" w14:textId="77777777" w:rsidR="000B3DF0" w:rsidRDefault="00000000">
            <w:pPr>
              <w:spacing w:line="228" w:lineRule="auto"/>
              <w:jc w:val="center"/>
            </w:pPr>
            <w:r>
              <w:rPr>
                <w:sz w:val="17"/>
                <w:szCs w:val="17"/>
              </w:rPr>
              <w:t>7.63x</w:t>
            </w:r>
          </w:p>
        </w:tc>
      </w:tr>
      <w:tr w:rsidR="000B3DF0" w14:paraId="62066571" w14:textId="77777777">
        <w:tc>
          <w:tcPr>
            <w:tcW w:w="3700" w:type="dxa"/>
            <w:tcBorders>
              <w:top w:val="single" w:sz="4" w:space="0" w:color="BFBFBF"/>
              <w:left w:val="single" w:sz="4" w:space="0" w:color="BFBFBF"/>
              <w:bottom w:val="single" w:sz="4" w:space="0" w:color="BFBFBF"/>
              <w:right w:val="single" w:sz="4" w:space="0" w:color="BFBFBF"/>
            </w:tcBorders>
            <w:tcMar>
              <w:top w:w="20" w:type="dxa"/>
              <w:left w:w="60" w:type="dxa"/>
              <w:bottom w:w="20" w:type="dxa"/>
              <w:right w:w="60" w:type="dxa"/>
            </w:tcMar>
            <w:vAlign w:val="center"/>
          </w:tcPr>
          <w:p w14:paraId="06DB9C48" w14:textId="77777777" w:rsidR="000B3DF0" w:rsidRDefault="00D44BE3">
            <w:pPr>
              <w:spacing w:line="228" w:lineRule="auto"/>
            </w:pPr>
            <w:r>
              <w:rPr>
                <w:sz w:val="17"/>
                <w:szCs w:val="17"/>
              </w:rPr>
              <w:t>Recommended exit route</w:t>
            </w:r>
          </w:p>
        </w:tc>
        <w:tc>
          <w:tcPr>
            <w:tcW w:w="2127" w:type="dxa"/>
            <w:tcBorders>
              <w:top w:val="single" w:sz="4" w:space="0" w:color="BFBFBF"/>
              <w:left w:val="single" w:sz="4" w:space="0" w:color="BFBFBF"/>
              <w:bottom w:val="single" w:sz="4" w:space="0" w:color="BFBFBF"/>
              <w:right w:val="single" w:sz="4" w:space="0" w:color="BFBFBF"/>
            </w:tcBorders>
            <w:tcMar>
              <w:top w:w="20" w:type="dxa"/>
              <w:left w:w="60" w:type="dxa"/>
              <w:bottom w:w="20" w:type="dxa"/>
              <w:right w:w="60" w:type="dxa"/>
            </w:tcMar>
            <w:vAlign w:val="center"/>
          </w:tcPr>
          <w:p w14:paraId="32071B79" w14:textId="77777777" w:rsidR="000B3DF0" w:rsidRDefault="00000000">
            <w:pPr>
              <w:spacing w:line="228" w:lineRule="auto"/>
              <w:jc w:val="center"/>
            </w:pPr>
            <w:r>
              <w:rPr>
                <w:sz w:val="17"/>
                <w:szCs w:val="17"/>
              </w:rPr>
              <w:t>Trade sale or secondary buyout</w:t>
            </w:r>
          </w:p>
        </w:tc>
        <w:tc>
          <w:tcPr>
            <w:tcW w:w="2127" w:type="dxa"/>
            <w:tcBorders>
              <w:top w:val="single" w:sz="4" w:space="0" w:color="BFBFBF"/>
              <w:left w:val="single" w:sz="4" w:space="0" w:color="BFBFBF"/>
              <w:bottom w:val="single" w:sz="4" w:space="0" w:color="BFBFBF"/>
              <w:right w:val="single" w:sz="4" w:space="0" w:color="BFBFBF"/>
            </w:tcBorders>
            <w:tcMar>
              <w:top w:w="20" w:type="dxa"/>
              <w:left w:w="60" w:type="dxa"/>
              <w:bottom w:w="20" w:type="dxa"/>
              <w:right w:w="60" w:type="dxa"/>
            </w:tcMar>
            <w:vAlign w:val="center"/>
          </w:tcPr>
          <w:p w14:paraId="55B5B5F7" w14:textId="77777777" w:rsidR="000B3DF0" w:rsidRDefault="00000000">
            <w:pPr>
              <w:spacing w:line="228" w:lineRule="auto"/>
              <w:jc w:val="center"/>
            </w:pPr>
            <w:r>
              <w:rPr>
                <w:sz w:val="17"/>
                <w:szCs w:val="17"/>
              </w:rPr>
              <w:t>Trade sale to strategic</w:t>
            </w:r>
          </w:p>
        </w:tc>
        <w:tc>
          <w:tcPr>
            <w:tcW w:w="2126" w:type="dxa"/>
            <w:tcBorders>
              <w:top w:val="single" w:sz="4" w:space="0" w:color="BFBFBF"/>
              <w:left w:val="single" w:sz="4" w:space="0" w:color="BFBFBF"/>
              <w:bottom w:val="single" w:sz="4" w:space="0" w:color="BFBFBF"/>
              <w:right w:val="single" w:sz="4" w:space="0" w:color="BFBFBF"/>
            </w:tcBorders>
            <w:tcMar>
              <w:top w:w="20" w:type="dxa"/>
              <w:left w:w="60" w:type="dxa"/>
              <w:bottom w:w="20" w:type="dxa"/>
              <w:right w:w="60" w:type="dxa"/>
            </w:tcMar>
            <w:vAlign w:val="center"/>
          </w:tcPr>
          <w:p w14:paraId="3712A9BC" w14:textId="77777777" w:rsidR="000B3DF0" w:rsidRDefault="00000000">
            <w:pPr>
              <w:spacing w:line="228" w:lineRule="auto"/>
              <w:jc w:val="center"/>
            </w:pPr>
            <w:r>
              <w:rPr>
                <w:sz w:val="17"/>
                <w:szCs w:val="17"/>
              </w:rPr>
              <w:t>Secondary buyout</w:t>
            </w:r>
          </w:p>
        </w:tc>
      </w:tr>
      <w:tr w:rsidR="000B3DF0" w14:paraId="0A68FB85" w14:textId="77777777">
        <w:tc>
          <w:tcPr>
            <w:tcW w:w="3700" w:type="dxa"/>
            <w:tcBorders>
              <w:top w:val="single" w:sz="4" w:space="0" w:color="BFBFBF"/>
              <w:left w:val="single" w:sz="4" w:space="0" w:color="BFBFBF"/>
              <w:bottom w:val="single" w:sz="4" w:space="0" w:color="BFBFBF"/>
              <w:right w:val="single" w:sz="4" w:space="0" w:color="BFBFBF"/>
            </w:tcBorders>
            <w:tcMar>
              <w:top w:w="20" w:type="dxa"/>
              <w:left w:w="60" w:type="dxa"/>
              <w:bottom w:w="20" w:type="dxa"/>
              <w:right w:w="60" w:type="dxa"/>
            </w:tcMar>
            <w:vAlign w:val="center"/>
          </w:tcPr>
          <w:p w14:paraId="2A6E7938" w14:textId="77777777" w:rsidR="000B3DF0" w:rsidRDefault="00000000">
            <w:pPr>
              <w:spacing w:line="228" w:lineRule="auto"/>
            </w:pPr>
            <w:r>
              <w:rPr>
                <w:sz w:val="17"/>
                <w:szCs w:val="17"/>
              </w:rPr>
              <w:t xml:space="preserve">2019 EBITDA margin (EBITDA ÷ revenue)</w:t>
            </w:r>
          </w:p>
        </w:tc>
        <w:tc>
          <w:tcPr>
            <w:tcW w:w="2127" w:type="dxa"/>
            <w:tcBorders>
              <w:top w:val="single" w:sz="4" w:space="0" w:color="BFBFBF"/>
              <w:left w:val="single" w:sz="4" w:space="0" w:color="BFBFBF"/>
              <w:bottom w:val="single" w:sz="4" w:space="0" w:color="BFBFBF"/>
              <w:right w:val="single" w:sz="4" w:space="0" w:color="BFBFBF"/>
            </w:tcBorders>
            <w:tcMar>
              <w:top w:w="20" w:type="dxa"/>
              <w:left w:w="60" w:type="dxa"/>
              <w:bottom w:w="20" w:type="dxa"/>
              <w:right w:w="60" w:type="dxa"/>
            </w:tcMar>
            <w:vAlign w:val="center"/>
          </w:tcPr>
          <w:p w14:paraId="6B2D12A9" w14:textId="77777777" w:rsidR="000B3DF0" w:rsidRDefault="00000000">
            <w:pPr>
              <w:spacing w:line="228" w:lineRule="auto"/>
              <w:jc w:val="center"/>
            </w:pPr>
            <w:r>
              <w:rPr>
                <w:sz w:val="17"/>
                <w:szCs w:val="17"/>
              </w:rPr>
              <w:t xml:space="preserve">21.0%</w:t>
            </w:r>
          </w:p>
        </w:tc>
        <w:tc>
          <w:tcPr>
            <w:tcW w:w="2127" w:type="dxa"/>
            <w:tcBorders>
              <w:top w:val="single" w:sz="4" w:space="0" w:color="BFBFBF"/>
              <w:left w:val="single" w:sz="4" w:space="0" w:color="BFBFBF"/>
              <w:bottom w:val="single" w:sz="4" w:space="0" w:color="BFBFBF"/>
              <w:right w:val="single" w:sz="4" w:space="0" w:color="BFBFBF"/>
            </w:tcBorders>
            <w:tcMar>
              <w:top w:w="20" w:type="dxa"/>
              <w:left w:w="60" w:type="dxa"/>
              <w:bottom w:w="20" w:type="dxa"/>
              <w:right w:w="60" w:type="dxa"/>
            </w:tcMar>
            <w:vAlign w:val="center"/>
          </w:tcPr>
          <w:p w14:paraId="3B31DBE0" w14:textId="77777777" w:rsidR="000B3DF0" w:rsidRDefault="00000000">
            <w:pPr>
              <w:spacing w:line="228" w:lineRule="auto"/>
              <w:jc w:val="center"/>
            </w:pPr>
            <w:r>
              <w:rPr>
                <w:sz w:val="17"/>
                <w:szCs w:val="17"/>
              </w:rPr>
              <w:t xml:space="preserve">21.5%</w:t>
            </w:r>
          </w:p>
        </w:tc>
        <w:tc>
          <w:tcPr>
            <w:tcW w:w="2126" w:type="dxa"/>
            <w:tcBorders>
              <w:top w:val="single" w:sz="4" w:space="0" w:color="BFBFBF"/>
              <w:left w:val="single" w:sz="4" w:space="0" w:color="BFBFBF"/>
              <w:bottom w:val="single" w:sz="4" w:space="0" w:color="BFBFBF"/>
              <w:right w:val="single" w:sz="4" w:space="0" w:color="BFBFBF"/>
            </w:tcBorders>
            <w:tcMar>
              <w:top w:w="20" w:type="dxa"/>
              <w:left w:w="60" w:type="dxa"/>
              <w:bottom w:w="20" w:type="dxa"/>
              <w:right w:w="60" w:type="dxa"/>
            </w:tcMar>
            <w:vAlign w:val="center"/>
          </w:tcPr>
          <w:p w14:paraId="02CCEB3C" w14:textId="77777777" w:rsidR="000B3DF0" w:rsidRDefault="00000000">
            <w:pPr>
              <w:spacing w:line="228" w:lineRule="auto"/>
              <w:jc w:val="center"/>
            </w:pPr>
            <w:r>
              <w:rPr>
                <w:sz w:val="17"/>
                <w:szCs w:val="17"/>
              </w:rPr>
              <w:t xml:space="preserve">19.5%</w:t>
            </w:r>
          </w:p>
        </w:tc>
      </w:tr>
      <w:tr w:rsidR="000B3DF0" w14:paraId="1087AF22" w14:textId="77777777">
        <w:tc>
          <w:tcPr>
            <w:tcW w:w="3700" w:type="dxa"/>
            <w:tcBorders>
              <w:top w:val="single" w:sz="4" w:space="0" w:color="BFBFBF"/>
              <w:left w:val="single" w:sz="4" w:space="0" w:color="BFBFBF"/>
              <w:bottom w:val="single" w:sz="4" w:space="0" w:color="BFBFBF"/>
              <w:right w:val="single" w:sz="4" w:space="0" w:color="BFBFBF"/>
            </w:tcBorders>
            <w:tcMar>
              <w:top w:w="20" w:type="dxa"/>
              <w:left w:w="60" w:type="dxa"/>
              <w:bottom w:w="20" w:type="dxa"/>
              <w:right w:w="60" w:type="dxa"/>
            </w:tcMar>
            <w:vAlign w:val="center"/>
          </w:tcPr>
          <w:p w14:paraId="7885E2ED" w14:textId="77777777" w:rsidR="000B3DF0" w:rsidRDefault="00000000">
            <w:pPr>
              <w:spacing w:line="228" w:lineRule="auto"/>
            </w:pPr>
            <w:r>
              <w:rPr>
                <w:sz w:val="17"/>
                <w:szCs w:val="17"/>
              </w:rPr>
              <w:t xml:space="preserve">Gross leverage at exit (term loan ÷ EBITDA)</w:t>
            </w:r>
          </w:p>
        </w:tc>
        <w:tc>
          <w:tcPr>
            <w:tcW w:w="2127" w:type="dxa"/>
            <w:tcBorders>
              <w:top w:val="single" w:sz="4" w:space="0" w:color="BFBFBF"/>
              <w:left w:val="single" w:sz="4" w:space="0" w:color="BFBFBF"/>
              <w:bottom w:val="single" w:sz="4" w:space="0" w:color="BFBFBF"/>
              <w:right w:val="single" w:sz="4" w:space="0" w:color="BFBFBF"/>
            </w:tcBorders>
            <w:tcMar>
              <w:top w:w="20" w:type="dxa"/>
              <w:left w:w="60" w:type="dxa"/>
              <w:bottom w:w="20" w:type="dxa"/>
              <w:right w:w="60" w:type="dxa"/>
            </w:tcMar>
            <w:vAlign w:val="center"/>
          </w:tcPr>
          <w:p w14:paraId="435F851D" w14:textId="77777777" w:rsidR="000B3DF0" w:rsidRDefault="00000000">
            <w:pPr>
              <w:spacing w:line="228" w:lineRule="auto"/>
              <w:jc w:val="center"/>
            </w:pPr>
            <w:r>
              <w:rPr>
                <w:sz w:val="17"/>
                <w:szCs w:val="17"/>
              </w:rPr>
              <w:t xml:space="preserve">0.86x</w:t>
            </w:r>
          </w:p>
        </w:tc>
        <w:tc>
          <w:tcPr>
            <w:tcW w:w="2127" w:type="dxa"/>
            <w:tcBorders>
              <w:top w:val="single" w:sz="4" w:space="0" w:color="BFBFBF"/>
              <w:left w:val="single" w:sz="4" w:space="0" w:color="BFBFBF"/>
              <w:bottom w:val="single" w:sz="4" w:space="0" w:color="BFBFBF"/>
              <w:right w:val="single" w:sz="4" w:space="0" w:color="BFBFBF"/>
            </w:tcBorders>
            <w:tcMar>
              <w:top w:w="20" w:type="dxa"/>
              <w:left w:w="60" w:type="dxa"/>
              <w:bottom w:w="20" w:type="dxa"/>
              <w:right w:w="60" w:type="dxa"/>
            </w:tcMar>
            <w:vAlign w:val="center"/>
          </w:tcPr>
          <w:p w14:paraId="42829129" w14:textId="77777777" w:rsidR="000B3DF0" w:rsidRDefault="00000000">
            <w:pPr>
              <w:spacing w:line="228" w:lineRule="auto"/>
              <w:jc w:val="center"/>
            </w:pPr>
            <w:r>
              <w:rPr>
                <w:sz w:val="17"/>
                <w:szCs w:val="17"/>
              </w:rPr>
              <w:t xml:space="preserve">0.49x</w:t>
            </w:r>
          </w:p>
        </w:tc>
        <w:tc>
          <w:tcPr>
            <w:tcW w:w="2126" w:type="dxa"/>
            <w:tcBorders>
              <w:top w:val="single" w:sz="4" w:space="0" w:color="BFBFBF"/>
              <w:left w:val="single" w:sz="4" w:space="0" w:color="BFBFBF"/>
              <w:bottom w:val="single" w:sz="4" w:space="0" w:color="BFBFBF"/>
              <w:right w:val="single" w:sz="4" w:space="0" w:color="BFBFBF"/>
            </w:tcBorders>
            <w:tcMar>
              <w:top w:w="20" w:type="dxa"/>
              <w:left w:w="60" w:type="dxa"/>
              <w:bottom w:w="20" w:type="dxa"/>
              <w:right w:w="60" w:type="dxa"/>
            </w:tcMar>
            <w:vAlign w:val="center"/>
          </w:tcPr>
          <w:p w14:paraId="2607B3C1" w14:textId="77777777" w:rsidR="000B3DF0" w:rsidRDefault="00000000">
            <w:pPr>
              <w:spacing w:line="228" w:lineRule="auto"/>
              <w:jc w:val="center"/>
            </w:pPr>
            <w:r>
              <w:rPr>
                <w:sz w:val="17"/>
                <w:szCs w:val="17"/>
              </w:rPr>
              <w:t xml:space="preserve">1.30x</w:t>
            </w:r>
          </w:p>
        </w:tc>
      </w:tr>
      <w:tr w:rsidR="000B3DF0" w14:paraId="1873DE36" w14:textId="77777777">
        <w:tc>
          <w:tcPr>
            <w:tcW w:w="3700" w:type="dxa"/>
            <w:tcBorders>
              <w:top w:val="single" w:sz="4" w:space="0" w:color="BFBFBF"/>
              <w:left w:val="single" w:sz="4" w:space="0" w:color="BFBFBF"/>
              <w:bottom w:val="single" w:sz="4" w:space="0" w:color="BFBFBF"/>
              <w:right w:val="single" w:sz="4" w:space="0" w:color="BFBFBF"/>
            </w:tcBorders>
            <w:tcMar>
              <w:top w:w="20" w:type="dxa"/>
              <w:left w:w="60" w:type="dxa"/>
              <w:bottom w:w="20" w:type="dxa"/>
              <w:right w:w="60" w:type="dxa"/>
            </w:tcMar>
            <w:vAlign w:val="center"/>
          </w:tcPr>
          <w:p w14:paraId="405671C9" w14:textId="77777777" w:rsidR="000B3DF0" w:rsidRDefault="00000000">
            <w:pPr>
              <w:spacing w:line="228" w:lineRule="auto"/>
            </w:pPr>
            <w:r>
              <w:rPr>
                <w:sz w:val="17"/>
                <w:szCs w:val="17"/>
              </w:rPr>
              <w:t>Exit TEV ($M)</w:t>
            </w:r>
          </w:p>
        </w:tc>
        <w:tc>
          <w:tcPr>
            <w:tcW w:w="2127" w:type="dxa"/>
            <w:tcBorders>
              <w:top w:val="single" w:sz="4" w:space="0" w:color="BFBFBF"/>
              <w:left w:val="single" w:sz="4" w:space="0" w:color="BFBFBF"/>
              <w:bottom w:val="single" w:sz="4" w:space="0" w:color="BFBFBF"/>
              <w:right w:val="single" w:sz="4" w:space="0" w:color="BFBFBF"/>
            </w:tcBorders>
            <w:tcMar>
              <w:top w:w="20" w:type="dxa"/>
              <w:left w:w="60" w:type="dxa"/>
              <w:bottom w:w="20" w:type="dxa"/>
              <w:right w:w="60" w:type="dxa"/>
            </w:tcMar>
            <w:vAlign w:val="center"/>
          </w:tcPr>
          <w:p w14:paraId="4F57FBF8" w14:textId="77777777" w:rsidR="000B3DF0" w:rsidRDefault="00000000">
            <w:pPr>
              <w:spacing w:line="228" w:lineRule="auto"/>
              <w:jc w:val="center"/>
            </w:pPr>
            <w:r>
              <w:rPr>
                <w:sz w:val="17"/>
                <w:szCs w:val="17"/>
              </w:rPr>
              <w:t>1,869.2</w:t>
            </w:r>
          </w:p>
        </w:tc>
        <w:tc>
          <w:tcPr>
            <w:tcW w:w="2127" w:type="dxa"/>
            <w:tcBorders>
              <w:top w:val="single" w:sz="4" w:space="0" w:color="BFBFBF"/>
              <w:left w:val="single" w:sz="4" w:space="0" w:color="BFBFBF"/>
              <w:bottom w:val="single" w:sz="4" w:space="0" w:color="BFBFBF"/>
              <w:right w:val="single" w:sz="4" w:space="0" w:color="BFBFBF"/>
            </w:tcBorders>
            <w:tcMar>
              <w:top w:w="20" w:type="dxa"/>
              <w:left w:w="60" w:type="dxa"/>
              <w:bottom w:w="20" w:type="dxa"/>
              <w:right w:w="60" w:type="dxa"/>
            </w:tcMar>
            <w:vAlign w:val="center"/>
          </w:tcPr>
          <w:p w14:paraId="7D6A2BA9" w14:textId="77777777" w:rsidR="000B3DF0" w:rsidRDefault="00000000">
            <w:pPr>
              <w:spacing w:line="228" w:lineRule="auto"/>
              <w:jc w:val="center"/>
            </w:pPr>
            <w:r>
              <w:rPr>
                <w:sz w:val="17"/>
                <w:szCs w:val="17"/>
              </w:rPr>
              <w:t>2,476.4</w:t>
            </w:r>
          </w:p>
        </w:tc>
        <w:tc>
          <w:tcPr>
            <w:tcW w:w="2126" w:type="dxa"/>
            <w:tcBorders>
              <w:top w:val="single" w:sz="4" w:space="0" w:color="BFBFBF"/>
              <w:left w:val="single" w:sz="4" w:space="0" w:color="BFBFBF"/>
              <w:bottom w:val="single" w:sz="4" w:space="0" w:color="BFBFBF"/>
              <w:right w:val="single" w:sz="4" w:space="0" w:color="BFBFBF"/>
            </w:tcBorders>
            <w:tcMar>
              <w:top w:w="20" w:type="dxa"/>
              <w:left w:w="60" w:type="dxa"/>
              <w:bottom w:w="20" w:type="dxa"/>
              <w:right w:w="60" w:type="dxa"/>
            </w:tcMar>
            <w:vAlign w:val="center"/>
          </w:tcPr>
          <w:p w14:paraId="6D19F90A" w14:textId="77777777" w:rsidR="000B3DF0" w:rsidRDefault="00000000">
            <w:pPr>
              <w:spacing w:line="228" w:lineRule="auto"/>
              <w:jc w:val="center"/>
            </w:pPr>
            <w:r>
              <w:rPr>
                <w:sz w:val="17"/>
                <w:szCs w:val="17"/>
              </w:rPr>
              <w:t>1,420.5</w:t>
            </w:r>
          </w:p>
        </w:tc>
      </w:tr>
      <w:tr w:rsidR="000B3DF0" w14:paraId="05F4B0C0" w14:textId="77777777">
        <w:tc>
          <w:tcPr>
            <w:tcW w:w="3700" w:type="dxa"/>
            <w:tcBorders>
              <w:top w:val="single" w:sz="4" w:space="0" w:color="BFBFBF"/>
              <w:left w:val="single" w:sz="4" w:space="0" w:color="BFBFBF"/>
              <w:bottom w:val="single" w:sz="4" w:space="0" w:color="BFBFBF"/>
              <w:right w:val="single" w:sz="4" w:space="0" w:color="BFBFBF"/>
            </w:tcBorders>
            <w:tcMar>
              <w:top w:w="20" w:type="dxa"/>
              <w:left w:w="60" w:type="dxa"/>
              <w:bottom w:w="20" w:type="dxa"/>
              <w:right w:w="60" w:type="dxa"/>
            </w:tcMar>
            <w:vAlign w:val="center"/>
          </w:tcPr>
          <w:p w14:paraId="30206E8C" w14:textId="77777777" w:rsidR="000B3DF0" w:rsidRDefault="00000000">
            <w:pPr>
              <w:spacing w:line="228" w:lineRule="auto"/>
            </w:pPr>
            <w:r>
              <w:rPr>
                <w:sz w:val="17"/>
                <w:szCs w:val="17"/>
              </w:rPr>
              <w:t>Equity value to all holders at exit ($M)</w:t>
            </w:r>
          </w:p>
        </w:tc>
        <w:tc>
          <w:tcPr>
            <w:tcW w:w="2127" w:type="dxa"/>
            <w:tcBorders>
              <w:top w:val="single" w:sz="4" w:space="0" w:color="BFBFBF"/>
              <w:left w:val="single" w:sz="4" w:space="0" w:color="BFBFBF"/>
              <w:bottom w:val="single" w:sz="4" w:space="0" w:color="BFBFBF"/>
              <w:right w:val="single" w:sz="4" w:space="0" w:color="BFBFBF"/>
            </w:tcBorders>
            <w:tcMar>
              <w:top w:w="20" w:type="dxa"/>
              <w:left w:w="60" w:type="dxa"/>
              <w:bottom w:w="20" w:type="dxa"/>
              <w:right w:w="60" w:type="dxa"/>
            </w:tcMar>
            <w:vAlign w:val="center"/>
          </w:tcPr>
          <w:p w14:paraId="673DBBC9" w14:textId="77777777" w:rsidR="000B3DF0" w:rsidRDefault="00000000">
            <w:pPr>
              <w:spacing w:line="228" w:lineRule="auto"/>
              <w:jc w:val="center"/>
            </w:pPr>
            <w:r>
              <w:rPr>
                <w:sz w:val="17"/>
                <w:szCs w:val="17"/>
              </w:rPr>
              <w:t>1,632.5</w:t>
            </w:r>
          </w:p>
        </w:tc>
        <w:tc>
          <w:tcPr>
            <w:tcW w:w="2127" w:type="dxa"/>
            <w:tcBorders>
              <w:top w:val="single" w:sz="4" w:space="0" w:color="BFBFBF"/>
              <w:left w:val="single" w:sz="4" w:space="0" w:color="BFBFBF"/>
              <w:bottom w:val="single" w:sz="4" w:space="0" w:color="BFBFBF"/>
              <w:right w:val="single" w:sz="4" w:space="0" w:color="BFBFBF"/>
            </w:tcBorders>
            <w:tcMar>
              <w:top w:w="20" w:type="dxa"/>
              <w:left w:w="60" w:type="dxa"/>
              <w:bottom w:w="20" w:type="dxa"/>
              <w:right w:w="60" w:type="dxa"/>
            </w:tcMar>
            <w:vAlign w:val="center"/>
          </w:tcPr>
          <w:p w14:paraId="465A006F" w14:textId="77777777" w:rsidR="000B3DF0" w:rsidRDefault="00000000">
            <w:pPr>
              <w:spacing w:line="228" w:lineRule="auto"/>
              <w:jc w:val="center"/>
            </w:pPr>
            <w:r>
              <w:rPr>
                <w:sz w:val="17"/>
                <w:szCs w:val="17"/>
              </w:rPr>
              <w:t>2,281.3</w:t>
            </w:r>
          </w:p>
        </w:tc>
        <w:tc>
          <w:tcPr>
            <w:tcW w:w="2126" w:type="dxa"/>
            <w:tcBorders>
              <w:top w:val="single" w:sz="4" w:space="0" w:color="BFBFBF"/>
              <w:left w:val="single" w:sz="4" w:space="0" w:color="BFBFBF"/>
              <w:bottom w:val="single" w:sz="4" w:space="0" w:color="BFBFBF"/>
              <w:right w:val="single" w:sz="4" w:space="0" w:color="BFBFBF"/>
            </w:tcBorders>
            <w:tcMar>
              <w:top w:w="20" w:type="dxa"/>
              <w:left w:w="60" w:type="dxa"/>
              <w:bottom w:w="20" w:type="dxa"/>
              <w:right w:w="60" w:type="dxa"/>
            </w:tcMar>
            <w:vAlign w:val="center"/>
          </w:tcPr>
          <w:p w14:paraId="05CF8A2E" w14:textId="77777777" w:rsidR="000B3DF0" w:rsidRDefault="00000000">
            <w:pPr>
              <w:spacing w:line="228" w:lineRule="auto"/>
              <w:jc w:val="center"/>
            </w:pPr>
            <w:r>
              <w:rPr>
                <w:sz w:val="17"/>
                <w:szCs w:val="17"/>
              </w:rPr>
              <w:t>1,136.1</w:t>
            </w:r>
          </w:p>
        </w:tc>
      </w:tr>
      <w:tr w:rsidR="000B3DF0" w14:paraId="33F2A53B" w14:textId="77777777">
        <w:tc>
          <w:tcPr>
            <w:tcW w:w="3700" w:type="dxa"/>
            <w:tcBorders>
              <w:top w:val="single" w:sz="4" w:space="0" w:color="BFBFBF"/>
              <w:left w:val="single" w:sz="4" w:space="0" w:color="BFBFBF"/>
              <w:bottom w:val="single" w:sz="4" w:space="0" w:color="BFBFBF"/>
              <w:right w:val="single" w:sz="4" w:space="0" w:color="BFBFBF"/>
            </w:tcBorders>
            <w:tcMar>
              <w:top w:w="20" w:type="dxa"/>
              <w:left w:w="60" w:type="dxa"/>
              <w:bottom w:w="20" w:type="dxa"/>
              <w:right w:w="60" w:type="dxa"/>
            </w:tcMar>
            <w:vAlign w:val="center"/>
          </w:tcPr>
          <w:p w14:paraId="172D6568" w14:textId="77777777" w:rsidR="000B3DF0" w:rsidRDefault="00000000">
            <w:pPr>
              <w:spacing w:line="228" w:lineRule="auto"/>
            </w:pPr>
            <w:r>
              <w:rPr>
                <w:sz w:val="17"/>
                <w:szCs w:val="17"/>
              </w:rPr>
              <w:t>Sponsor proceeds ($M, 90% ownership at exit)</w:t>
            </w:r>
          </w:p>
        </w:tc>
        <w:tc>
          <w:tcPr>
            <w:tcW w:w="2127" w:type="dxa"/>
            <w:tcBorders>
              <w:top w:val="single" w:sz="4" w:space="0" w:color="BFBFBF"/>
              <w:left w:val="single" w:sz="4" w:space="0" w:color="BFBFBF"/>
              <w:bottom w:val="single" w:sz="4" w:space="0" w:color="BFBFBF"/>
              <w:right w:val="single" w:sz="4" w:space="0" w:color="BFBFBF"/>
            </w:tcBorders>
            <w:tcMar>
              <w:top w:w="20" w:type="dxa"/>
              <w:left w:w="60" w:type="dxa"/>
              <w:bottom w:w="20" w:type="dxa"/>
              <w:right w:w="60" w:type="dxa"/>
            </w:tcMar>
            <w:vAlign w:val="center"/>
          </w:tcPr>
          <w:p w14:paraId="43980E56" w14:textId="77777777" w:rsidR="000B3DF0" w:rsidRDefault="00000000">
            <w:pPr>
              <w:spacing w:line="228" w:lineRule="auto"/>
              <w:jc w:val="center"/>
            </w:pPr>
            <w:r>
              <w:rPr>
                <w:sz w:val="17"/>
                <w:szCs w:val="17"/>
              </w:rPr>
              <w:t>1,469.3</w:t>
            </w:r>
          </w:p>
        </w:tc>
        <w:tc>
          <w:tcPr>
            <w:tcW w:w="2127" w:type="dxa"/>
            <w:tcBorders>
              <w:top w:val="single" w:sz="4" w:space="0" w:color="BFBFBF"/>
              <w:left w:val="single" w:sz="4" w:space="0" w:color="BFBFBF"/>
              <w:bottom w:val="single" w:sz="4" w:space="0" w:color="BFBFBF"/>
              <w:right w:val="single" w:sz="4" w:space="0" w:color="BFBFBF"/>
            </w:tcBorders>
            <w:tcMar>
              <w:top w:w="20" w:type="dxa"/>
              <w:left w:w="60" w:type="dxa"/>
              <w:bottom w:w="20" w:type="dxa"/>
              <w:right w:w="60" w:type="dxa"/>
            </w:tcMar>
            <w:vAlign w:val="center"/>
          </w:tcPr>
          <w:p w14:paraId="3B6AE4FD" w14:textId="77777777" w:rsidR="000B3DF0" w:rsidRDefault="00000000">
            <w:pPr>
              <w:spacing w:line="228" w:lineRule="auto"/>
              <w:jc w:val="center"/>
            </w:pPr>
            <w:r>
              <w:rPr>
                <w:sz w:val="17"/>
                <w:szCs w:val="17"/>
              </w:rPr>
              <w:t>2,053.2</w:t>
            </w:r>
          </w:p>
        </w:tc>
        <w:tc>
          <w:tcPr>
            <w:tcW w:w="2126" w:type="dxa"/>
            <w:tcBorders>
              <w:top w:val="single" w:sz="4" w:space="0" w:color="BFBFBF"/>
              <w:left w:val="single" w:sz="4" w:space="0" w:color="BFBFBF"/>
              <w:bottom w:val="single" w:sz="4" w:space="0" w:color="BFBFBF"/>
              <w:right w:val="single" w:sz="4" w:space="0" w:color="BFBFBF"/>
            </w:tcBorders>
            <w:tcMar>
              <w:top w:w="20" w:type="dxa"/>
              <w:left w:w="60" w:type="dxa"/>
              <w:bottom w:w="20" w:type="dxa"/>
              <w:right w:w="60" w:type="dxa"/>
            </w:tcMar>
            <w:vAlign w:val="center"/>
          </w:tcPr>
          <w:p w14:paraId="0EDF9F65" w14:textId="77777777" w:rsidR="000B3DF0" w:rsidRDefault="00000000">
            <w:pPr>
              <w:spacing w:line="228" w:lineRule="auto"/>
              <w:jc w:val="center"/>
            </w:pPr>
            <w:r>
              <w:rPr>
                <w:sz w:val="17"/>
                <w:szCs w:val="17"/>
              </w:rPr>
              <w:t>1,022.5</w:t>
            </w:r>
          </w:p>
        </w:tc>
      </w:tr>
      <w:tr w:rsidR="000B3DF0" w14:paraId="08863D89" w14:textId="77777777">
        <w:tc>
          <w:tcPr>
            <w:tcW w:w="3700" w:type="dxa"/>
            <w:tcBorders>
              <w:top w:val="single" w:sz="4" w:space="0" w:color="BFBFBF"/>
              <w:left w:val="single" w:sz="4" w:space="0" w:color="BFBFBF"/>
              <w:bottom w:val="single" w:sz="4" w:space="0" w:color="BFBFBF"/>
              <w:right w:val="single" w:sz="4" w:space="0" w:color="BFBFBF"/>
            </w:tcBorders>
            <w:shd w:val="clear" w:color="auto" w:fill="EEF2F8"/>
            <w:tcMar>
              <w:top w:w="20" w:type="dxa"/>
              <w:left w:w="60" w:type="dxa"/>
              <w:bottom w:w="20" w:type="dxa"/>
              <w:right w:w="60" w:type="dxa"/>
            </w:tcMar>
            <w:vAlign w:val="center"/>
          </w:tcPr>
          <w:p w14:paraId="7EB9A378" w14:textId="77777777" w:rsidR="000B3DF0" w:rsidRDefault="00000000">
            <w:pPr>
              <w:spacing w:line="228" w:lineRule="auto"/>
            </w:pPr>
            <w:r>
              <w:rPr>
                <w:b/>
                <w:bCs/>
                <w:sz w:val="17"/>
                <w:szCs w:val="17"/>
              </w:rPr>
              <w:t>MOIC</w:t>
            </w:r>
          </w:p>
        </w:tc>
        <w:tc>
          <w:tcPr>
            <w:tcW w:w="2127" w:type="dxa"/>
            <w:tcBorders>
              <w:top w:val="single" w:sz="4" w:space="0" w:color="BFBFBF"/>
              <w:left w:val="single" w:sz="4" w:space="0" w:color="BFBFBF"/>
              <w:bottom w:val="single" w:sz="4" w:space="0" w:color="BFBFBF"/>
              <w:right w:val="single" w:sz="4" w:space="0" w:color="BFBFBF"/>
            </w:tcBorders>
            <w:shd w:val="clear" w:color="auto" w:fill="EEF2F8"/>
            <w:tcMar>
              <w:top w:w="20" w:type="dxa"/>
              <w:left w:w="60" w:type="dxa"/>
              <w:bottom w:w="20" w:type="dxa"/>
              <w:right w:w="60" w:type="dxa"/>
            </w:tcMar>
            <w:vAlign w:val="center"/>
          </w:tcPr>
          <w:p w14:paraId="32C12709" w14:textId="77777777" w:rsidR="000B3DF0" w:rsidRDefault="00000000">
            <w:pPr>
              <w:spacing w:line="228" w:lineRule="auto"/>
              <w:jc w:val="center"/>
            </w:pPr>
            <w:r>
              <w:rPr>
                <w:b/>
                <w:bCs/>
                <w:sz w:val="17"/>
                <w:szCs w:val="17"/>
              </w:rPr>
              <w:t>2.55x</w:t>
            </w:r>
          </w:p>
        </w:tc>
        <w:tc>
          <w:tcPr>
            <w:tcW w:w="2127" w:type="dxa"/>
            <w:tcBorders>
              <w:top w:val="single" w:sz="4" w:space="0" w:color="BFBFBF"/>
              <w:left w:val="single" w:sz="4" w:space="0" w:color="BFBFBF"/>
              <w:bottom w:val="single" w:sz="4" w:space="0" w:color="BFBFBF"/>
              <w:right w:val="single" w:sz="4" w:space="0" w:color="BFBFBF"/>
            </w:tcBorders>
            <w:shd w:val="clear" w:color="auto" w:fill="EEF2F8"/>
            <w:tcMar>
              <w:top w:w="20" w:type="dxa"/>
              <w:left w:w="60" w:type="dxa"/>
              <w:bottom w:w="20" w:type="dxa"/>
              <w:right w:w="60" w:type="dxa"/>
            </w:tcMar>
            <w:vAlign w:val="center"/>
          </w:tcPr>
          <w:p w14:paraId="3703423C" w14:textId="77777777" w:rsidR="000B3DF0" w:rsidRDefault="00000000">
            <w:pPr>
              <w:spacing w:line="228" w:lineRule="auto"/>
              <w:jc w:val="center"/>
            </w:pPr>
            <w:r>
              <w:rPr>
                <w:b/>
                <w:bCs/>
                <w:sz w:val="17"/>
                <w:szCs w:val="17"/>
              </w:rPr>
              <w:t>3.56x</w:t>
            </w:r>
          </w:p>
        </w:tc>
        <w:tc>
          <w:tcPr>
            <w:tcW w:w="2126" w:type="dxa"/>
            <w:tcBorders>
              <w:top w:val="single" w:sz="4" w:space="0" w:color="BFBFBF"/>
              <w:left w:val="single" w:sz="4" w:space="0" w:color="BFBFBF"/>
              <w:bottom w:val="single" w:sz="4" w:space="0" w:color="BFBFBF"/>
              <w:right w:val="single" w:sz="4" w:space="0" w:color="BFBFBF"/>
            </w:tcBorders>
            <w:shd w:val="clear" w:color="auto" w:fill="EEF2F8"/>
            <w:tcMar>
              <w:top w:w="20" w:type="dxa"/>
              <w:left w:w="60" w:type="dxa"/>
              <w:bottom w:w="20" w:type="dxa"/>
              <w:right w:w="60" w:type="dxa"/>
            </w:tcMar>
            <w:vAlign w:val="center"/>
          </w:tcPr>
          <w:p w14:paraId="1310D9F5" w14:textId="77777777" w:rsidR="000B3DF0" w:rsidRDefault="00000000">
            <w:pPr>
              <w:spacing w:line="228" w:lineRule="auto"/>
              <w:jc w:val="center"/>
            </w:pPr>
            <w:r>
              <w:rPr>
                <w:b/>
                <w:bCs/>
                <w:sz w:val="17"/>
                <w:szCs w:val="17"/>
              </w:rPr>
              <w:t>1.77x</w:t>
            </w:r>
          </w:p>
        </w:tc>
      </w:tr>
      <w:tr w:rsidR="000B3DF0" w14:paraId="5E7A424F" w14:textId="77777777">
        <w:tc>
          <w:tcPr>
            <w:tcW w:w="3700" w:type="dxa"/>
            <w:tcBorders>
              <w:top w:val="single" w:sz="4" w:space="0" w:color="BFBFBF"/>
              <w:left w:val="single" w:sz="4" w:space="0" w:color="BFBFBF"/>
              <w:bottom w:val="single" w:sz="4" w:space="0" w:color="BFBFBF"/>
              <w:right w:val="single" w:sz="4" w:space="0" w:color="BFBFBF"/>
            </w:tcBorders>
            <w:shd w:val="clear" w:color="auto" w:fill="EEF2F8"/>
            <w:tcMar>
              <w:top w:w="20" w:type="dxa"/>
              <w:left w:w="60" w:type="dxa"/>
              <w:bottom w:w="20" w:type="dxa"/>
              <w:right w:w="60" w:type="dxa"/>
            </w:tcMar>
            <w:vAlign w:val="center"/>
          </w:tcPr>
          <w:p w14:paraId="20F366B8" w14:textId="77777777" w:rsidR="000B3DF0" w:rsidRDefault="00000000">
            <w:pPr>
              <w:spacing w:line="228" w:lineRule="auto"/>
            </w:pPr>
            <w:r>
              <w:rPr>
                <w:b/>
                <w:bCs/>
                <w:sz w:val="17"/>
                <w:szCs w:val="17"/>
              </w:rPr>
              <w:t>IRR (5-year hold)</w:t>
            </w:r>
          </w:p>
        </w:tc>
        <w:tc>
          <w:tcPr>
            <w:tcW w:w="2127" w:type="dxa"/>
            <w:tcBorders>
              <w:top w:val="single" w:sz="4" w:space="0" w:color="BFBFBF"/>
              <w:left w:val="single" w:sz="4" w:space="0" w:color="BFBFBF"/>
              <w:bottom w:val="single" w:sz="4" w:space="0" w:color="BFBFBF"/>
              <w:right w:val="single" w:sz="4" w:space="0" w:color="BFBFBF"/>
            </w:tcBorders>
            <w:shd w:val="clear" w:color="auto" w:fill="EEF2F8"/>
            <w:tcMar>
              <w:top w:w="20" w:type="dxa"/>
              <w:left w:w="60" w:type="dxa"/>
              <w:bottom w:w="20" w:type="dxa"/>
              <w:right w:w="60" w:type="dxa"/>
            </w:tcMar>
            <w:vAlign w:val="center"/>
          </w:tcPr>
          <w:p w14:paraId="34B8724B" w14:textId="77777777" w:rsidR="000B3DF0" w:rsidRDefault="00000000">
            <w:pPr>
              <w:spacing w:line="228" w:lineRule="auto"/>
              <w:jc w:val="center"/>
            </w:pPr>
            <w:r>
              <w:rPr>
                <w:b/>
                <w:bCs/>
                <w:sz w:val="17"/>
                <w:szCs w:val="17"/>
              </w:rPr>
              <w:t>20.6%</w:t>
            </w:r>
          </w:p>
        </w:tc>
        <w:tc>
          <w:tcPr>
            <w:tcW w:w="2127" w:type="dxa"/>
            <w:tcBorders>
              <w:top w:val="single" w:sz="4" w:space="0" w:color="BFBFBF"/>
              <w:left w:val="single" w:sz="4" w:space="0" w:color="BFBFBF"/>
              <w:bottom w:val="single" w:sz="4" w:space="0" w:color="BFBFBF"/>
              <w:right w:val="single" w:sz="4" w:space="0" w:color="BFBFBF"/>
            </w:tcBorders>
            <w:shd w:val="clear" w:color="auto" w:fill="EEF2F8"/>
            <w:tcMar>
              <w:top w:w="20" w:type="dxa"/>
              <w:left w:w="60" w:type="dxa"/>
              <w:bottom w:w="20" w:type="dxa"/>
              <w:right w:w="60" w:type="dxa"/>
            </w:tcMar>
            <w:vAlign w:val="center"/>
          </w:tcPr>
          <w:p w14:paraId="23056BBC" w14:textId="77777777" w:rsidR="000B3DF0" w:rsidRDefault="00000000">
            <w:pPr>
              <w:spacing w:line="228" w:lineRule="auto"/>
              <w:jc w:val="center"/>
            </w:pPr>
            <w:r>
              <w:rPr>
                <w:b/>
                <w:bCs/>
                <w:sz w:val="17"/>
                <w:szCs w:val="17"/>
              </w:rPr>
              <w:t>28.9%</w:t>
            </w:r>
          </w:p>
        </w:tc>
        <w:tc>
          <w:tcPr>
            <w:tcW w:w="2126" w:type="dxa"/>
            <w:tcBorders>
              <w:top w:val="single" w:sz="4" w:space="0" w:color="BFBFBF"/>
              <w:left w:val="single" w:sz="4" w:space="0" w:color="BFBFBF"/>
              <w:bottom w:val="single" w:sz="4" w:space="0" w:color="BFBFBF"/>
              <w:right w:val="single" w:sz="4" w:space="0" w:color="BFBFBF"/>
            </w:tcBorders>
            <w:shd w:val="clear" w:color="auto" w:fill="EEF2F8"/>
            <w:tcMar>
              <w:top w:w="20" w:type="dxa"/>
              <w:left w:w="60" w:type="dxa"/>
              <w:bottom w:w="20" w:type="dxa"/>
              <w:right w:w="60" w:type="dxa"/>
            </w:tcMar>
            <w:vAlign w:val="center"/>
          </w:tcPr>
          <w:p w14:paraId="2202BF86" w14:textId="77777777" w:rsidR="000B3DF0" w:rsidRDefault="00000000">
            <w:pPr>
              <w:spacing w:line="228" w:lineRule="auto"/>
              <w:jc w:val="center"/>
            </w:pPr>
            <w:r>
              <w:rPr>
                <w:b/>
                <w:bCs/>
                <w:sz w:val="17"/>
                <w:szCs w:val="17"/>
              </w:rPr>
              <w:t>12.1%</w:t>
            </w:r>
          </w:p>
        </w:tc>
      </w:tr>
      <w:tr w:rsidR="000B3DF0" w14:paraId="6CC60B20" w14:textId="77777777">
        <w:tc>
          <w:tcPr>
            <w:tcW w:w="3700" w:type="dxa"/>
            <w:tcBorders>
              <w:top w:val="single" w:sz="4" w:space="0" w:color="BFBFBF"/>
              <w:left w:val="single" w:sz="4" w:space="0" w:color="BFBFBF"/>
              <w:bottom w:val="single" w:sz="4" w:space="0" w:color="BFBFBF"/>
              <w:right w:val="single" w:sz="4" w:space="0" w:color="BFBFBF"/>
            </w:tcBorders>
            <w:tcMar>
              <w:top w:w="20" w:type="dxa"/>
              <w:left w:w="60" w:type="dxa"/>
              <w:bottom w:w="20" w:type="dxa"/>
              <w:right w:w="60" w:type="dxa"/>
            </w:tcMar>
            <w:vAlign w:val="center"/>
          </w:tcPr>
          <w:p w14:paraId="134EA73F" w14:textId="77777777" w:rsidR="000B3DF0" w:rsidRDefault="00000000">
            <w:pPr>
              <w:spacing w:line="228" w:lineRule="auto"/>
            </w:pPr>
            <w:r>
              <w:rPr>
                <w:sz w:val="17"/>
                <w:szCs w:val="17"/>
              </w:rPr>
              <w:t>Versus hurdles (25-30% target; 12% floor)</w:t>
            </w:r>
          </w:p>
        </w:tc>
        <w:tc>
          <w:tcPr>
            <w:tcW w:w="2127" w:type="dxa"/>
            <w:tcBorders>
              <w:top w:val="single" w:sz="4" w:space="0" w:color="BFBFBF"/>
              <w:left w:val="single" w:sz="4" w:space="0" w:color="BFBFBF"/>
              <w:bottom w:val="single" w:sz="4" w:space="0" w:color="BFBFBF"/>
              <w:right w:val="single" w:sz="4" w:space="0" w:color="BFBFBF"/>
            </w:tcBorders>
            <w:tcMar>
              <w:top w:w="20" w:type="dxa"/>
              <w:left w:w="60" w:type="dxa"/>
              <w:bottom w:w="20" w:type="dxa"/>
              <w:right w:w="60" w:type="dxa"/>
            </w:tcMar>
            <w:vAlign w:val="center"/>
          </w:tcPr>
          <w:p w14:paraId="4B72C77F" w14:textId="77777777" w:rsidR="000B3DF0" w:rsidRDefault="00000000">
            <w:pPr>
              <w:spacing w:line="228" w:lineRule="auto"/>
              <w:jc w:val="center"/>
            </w:pPr>
            <w:r>
              <w:rPr>
                <w:sz w:val="17"/>
                <w:szCs w:val="17"/>
              </w:rPr>
              <w:t>Above 20% target</w:t>
            </w:r>
          </w:p>
        </w:tc>
        <w:tc>
          <w:tcPr>
            <w:tcW w:w="2127" w:type="dxa"/>
            <w:tcBorders>
              <w:top w:val="single" w:sz="4" w:space="0" w:color="BFBFBF"/>
              <w:left w:val="single" w:sz="4" w:space="0" w:color="BFBFBF"/>
              <w:bottom w:val="single" w:sz="4" w:space="0" w:color="BFBFBF"/>
              <w:right w:val="single" w:sz="4" w:space="0" w:color="BFBFBF"/>
            </w:tcBorders>
            <w:tcMar>
              <w:top w:w="20" w:type="dxa"/>
              <w:left w:w="60" w:type="dxa"/>
              <w:bottom w:w="20" w:type="dxa"/>
              <w:right w:w="60" w:type="dxa"/>
            </w:tcMar>
            <w:vAlign w:val="center"/>
          </w:tcPr>
          <w:p w14:paraId="0D5C220A" w14:textId="77777777" w:rsidR="000B3DF0" w:rsidRDefault="00000000">
            <w:pPr>
              <w:spacing w:line="228" w:lineRule="auto"/>
              <w:jc w:val="center"/>
            </w:pPr>
            <w:r>
              <w:rPr>
                <w:sz w:val="17"/>
                <w:szCs w:val="17"/>
              </w:rPr>
              <w:t>In 25-30% band</w:t>
            </w:r>
          </w:p>
        </w:tc>
        <w:tc>
          <w:tcPr>
            <w:tcW w:w="2126" w:type="dxa"/>
            <w:tcBorders>
              <w:top w:val="single" w:sz="4" w:space="0" w:color="BFBFBF"/>
              <w:left w:val="single" w:sz="4" w:space="0" w:color="BFBFBF"/>
              <w:bottom w:val="single" w:sz="4" w:space="0" w:color="BFBFBF"/>
              <w:right w:val="single" w:sz="4" w:space="0" w:color="BFBFBF"/>
            </w:tcBorders>
            <w:tcMar>
              <w:top w:w="20" w:type="dxa"/>
              <w:left w:w="60" w:type="dxa"/>
              <w:bottom w:w="20" w:type="dxa"/>
              <w:right w:w="60" w:type="dxa"/>
            </w:tcMar>
            <w:vAlign w:val="center"/>
          </w:tcPr>
          <w:p w14:paraId="22929760" w14:textId="77777777" w:rsidR="000B3DF0" w:rsidRDefault="00000000">
            <w:pPr>
              <w:spacing w:line="228" w:lineRule="auto"/>
              <w:jc w:val="center"/>
            </w:pPr>
            <w:r>
              <w:rPr>
                <w:sz w:val="17"/>
                <w:szCs w:val="17"/>
              </w:rPr>
              <w:t>Clears 12% floor by 0.1 pt</w:t>
            </w:r>
          </w:p>
        </w:tc>
      </w:tr>
    </w:tbl>
    <w:p w14:paraId="04A5AEE2" w14:textId="77777777" w:rsidR="000B3DF0" w:rsidRDefault="00000000">
      <w:pPr>
        <w:keepNext/>
        <w:pBdr>
          <w:bottom w:val="single" w:sz="6" w:space="1" w:color="1F3864"/>
        </w:pBdr>
        <w:spacing w:before="140" w:after="60"/>
      </w:pPr>
      <w:r>
        <w:rPr>
          <w:b/>
          <w:bCs/>
          <w:color w:val="1F3864"/>
          <w:sz w:val="24"/>
          <w:szCs w:val="24"/>
        </w:rPr>
        <w:t>3. Assumptions changed and rationale</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1900"/>
        <w:gridCol w:w="1500"/>
        <w:gridCol w:w="5980"/>
      </w:tblGrid>
      <w:tr w:rsidR="000B3DF0" w14:paraId="2C269DE8" w14:textId="77777777">
        <w:tc>
          <w:tcPr>
            <w:tcW w:w="700" w:type="dxa"/>
            <w:tcBorders>
              <w:top w:val="single" w:sz="4" w:space="0" w:color="BFBFBF"/>
              <w:left w:val="single" w:sz="4" w:space="0" w:color="BFBFBF"/>
              <w:bottom w:val="single" w:sz="4" w:space="0" w:color="BFBFBF"/>
              <w:right w:val="single" w:sz="4" w:space="0" w:color="BFBFBF"/>
            </w:tcBorders>
            <w:shd w:val="clear" w:color="auto" w:fill="1F3864"/>
            <w:tcMar>
              <w:top w:w="20" w:type="dxa"/>
              <w:left w:w="60" w:type="dxa"/>
              <w:bottom w:w="20" w:type="dxa"/>
              <w:right w:w="60" w:type="dxa"/>
            </w:tcMar>
            <w:vAlign w:val="center"/>
          </w:tcPr>
          <w:p w14:paraId="6332C913" w14:textId="77777777" w:rsidR="000B3DF0" w:rsidRDefault="00000000">
            <w:pPr>
              <w:spacing w:line="228" w:lineRule="auto"/>
              <w:jc w:val="center"/>
            </w:pPr>
            <w:r>
              <w:rPr>
                <w:b/>
                <w:bCs/>
                <w:color w:val="FFFFFF"/>
                <w:sz w:val="17"/>
                <w:szCs w:val="17"/>
              </w:rPr>
              <w:t>Case</w:t>
            </w:r>
          </w:p>
        </w:tc>
        <w:tc>
          <w:tcPr>
            <w:tcW w:w="1900" w:type="dxa"/>
            <w:tcBorders>
              <w:top w:val="single" w:sz="4" w:space="0" w:color="BFBFBF"/>
              <w:left w:val="single" w:sz="4" w:space="0" w:color="BFBFBF"/>
              <w:bottom w:val="single" w:sz="4" w:space="0" w:color="BFBFBF"/>
              <w:right w:val="single" w:sz="4" w:space="0" w:color="BFBFBF"/>
            </w:tcBorders>
            <w:shd w:val="clear" w:color="auto" w:fill="1F3864"/>
            <w:tcMar>
              <w:top w:w="20" w:type="dxa"/>
              <w:left w:w="60" w:type="dxa"/>
              <w:bottom w:w="20" w:type="dxa"/>
              <w:right w:w="60" w:type="dxa"/>
            </w:tcMar>
            <w:vAlign w:val="center"/>
          </w:tcPr>
          <w:p w14:paraId="2E58C7DA" w14:textId="77777777" w:rsidR="000B3DF0" w:rsidRDefault="00000000">
            <w:pPr>
              <w:spacing w:line="228" w:lineRule="auto"/>
              <w:jc w:val="center"/>
            </w:pPr>
            <w:r>
              <w:rPr>
                <w:b/>
                <w:bCs/>
                <w:color w:val="FFFFFF"/>
                <w:sz w:val="17"/>
                <w:szCs w:val="17"/>
              </w:rPr>
              <w:t>Assumption</w:t>
            </w:r>
          </w:p>
        </w:tc>
        <w:tc>
          <w:tcPr>
            <w:tcW w:w="1500" w:type="dxa"/>
            <w:tcBorders>
              <w:top w:val="single" w:sz="4" w:space="0" w:color="BFBFBF"/>
              <w:left w:val="single" w:sz="4" w:space="0" w:color="BFBFBF"/>
              <w:bottom w:val="single" w:sz="4" w:space="0" w:color="BFBFBF"/>
              <w:right w:val="single" w:sz="4" w:space="0" w:color="BFBFBF"/>
            </w:tcBorders>
            <w:shd w:val="clear" w:color="auto" w:fill="1F3864"/>
            <w:tcMar>
              <w:top w:w="20" w:type="dxa"/>
              <w:left w:w="60" w:type="dxa"/>
              <w:bottom w:w="20" w:type="dxa"/>
              <w:right w:w="60" w:type="dxa"/>
            </w:tcMar>
            <w:vAlign w:val="center"/>
          </w:tcPr>
          <w:p w14:paraId="1EF7C9E4" w14:textId="77777777" w:rsidR="000B3DF0" w:rsidRDefault="00000000">
            <w:pPr>
              <w:spacing w:line="228" w:lineRule="auto"/>
              <w:jc w:val="center"/>
            </w:pPr>
            <w:r>
              <w:rPr>
                <w:b/>
                <w:bCs/>
                <w:color w:val="FFFFFF"/>
                <w:sz w:val="17"/>
                <w:szCs w:val="17"/>
              </w:rPr>
              <w:t>Base to case</w:t>
            </w:r>
          </w:p>
        </w:tc>
        <w:tc>
          <w:tcPr>
            <w:tcW w:w="5980" w:type="dxa"/>
            <w:tcBorders>
              <w:top w:val="single" w:sz="4" w:space="0" w:color="BFBFBF"/>
              <w:left w:val="single" w:sz="4" w:space="0" w:color="BFBFBF"/>
              <w:bottom w:val="single" w:sz="4" w:space="0" w:color="BFBFBF"/>
              <w:right w:val="single" w:sz="4" w:space="0" w:color="BFBFBF"/>
            </w:tcBorders>
            <w:shd w:val="clear" w:color="auto" w:fill="1F3864"/>
            <w:tcMar>
              <w:top w:w="20" w:type="dxa"/>
              <w:left w:w="60" w:type="dxa"/>
              <w:bottom w:w="20" w:type="dxa"/>
              <w:right w:w="60" w:type="dxa"/>
            </w:tcMar>
            <w:vAlign w:val="center"/>
          </w:tcPr>
          <w:p w14:paraId="2309058C" w14:textId="77777777" w:rsidR="000B3DF0" w:rsidRDefault="00000000">
            <w:pPr>
              <w:spacing w:line="228" w:lineRule="auto"/>
            </w:pPr>
            <w:r>
              <w:rPr>
                <w:b/>
                <w:bCs/>
                <w:color w:val="FFFFFF"/>
                <w:sz w:val="17"/>
                <w:szCs w:val="17"/>
              </w:rPr>
              <w:t>Rationale and source</w:t>
            </w:r>
          </w:p>
        </w:tc>
      </w:tr>
      <w:tr w:rsidR="000B3DF0" w14:paraId="47F1A173" w14:textId="77777777">
        <w:tc>
          <w:tcPr>
            <w:tcW w:w="700" w:type="dxa"/>
            <w:tcBorders>
              <w:top w:val="single" w:sz="4" w:space="0" w:color="BFBFBF"/>
              <w:left w:val="single" w:sz="4" w:space="0" w:color="BFBFBF"/>
              <w:bottom w:val="single" w:sz="4" w:space="0" w:color="BFBFBF"/>
              <w:right w:val="single" w:sz="4" w:space="0" w:color="BFBFBF"/>
            </w:tcBorders>
            <w:shd w:val="clear" w:color="auto" w:fill="F4F9F1"/>
            <w:tcMar>
              <w:top w:w="20" w:type="dxa"/>
              <w:left w:w="60" w:type="dxa"/>
              <w:bottom w:w="20" w:type="dxa"/>
              <w:right w:w="60" w:type="dxa"/>
            </w:tcMar>
            <w:vAlign w:val="center"/>
          </w:tcPr>
          <w:p w14:paraId="6084A326" w14:textId="77777777" w:rsidR="000B3DF0" w:rsidRDefault="00000000">
            <w:pPr>
              <w:spacing w:line="228" w:lineRule="auto"/>
              <w:jc w:val="center"/>
            </w:pPr>
            <w:r>
              <w:rPr>
                <w:b/>
                <w:bCs/>
                <w:sz w:val="17"/>
                <w:szCs w:val="17"/>
              </w:rPr>
              <w:t>Bull</w:t>
            </w:r>
          </w:p>
        </w:tc>
        <w:tc>
          <w:tcPr>
            <w:tcW w:w="1900" w:type="dxa"/>
            <w:tcBorders>
              <w:top w:val="single" w:sz="4" w:space="0" w:color="BFBFBF"/>
              <w:left w:val="single" w:sz="4" w:space="0" w:color="BFBFBF"/>
              <w:bottom w:val="single" w:sz="4" w:space="0" w:color="BFBFBF"/>
              <w:right w:val="single" w:sz="4" w:space="0" w:color="BFBFBF"/>
            </w:tcBorders>
            <w:shd w:val="clear" w:color="auto" w:fill="F4F9F1"/>
            <w:tcMar>
              <w:top w:w="20" w:type="dxa"/>
              <w:left w:w="60" w:type="dxa"/>
              <w:bottom w:w="20" w:type="dxa"/>
              <w:right w:w="60" w:type="dxa"/>
            </w:tcMar>
            <w:vAlign w:val="center"/>
          </w:tcPr>
          <w:p w14:paraId="5B73C8C9" w14:textId="77777777" w:rsidR="000B3DF0" w:rsidRDefault="00000000">
            <w:pPr>
              <w:spacing w:line="228" w:lineRule="auto"/>
            </w:pPr>
            <w:r>
              <w:rPr>
                <w:sz w:val="17"/>
                <w:szCs w:val="17"/>
              </w:rPr>
              <w:t>Revenue growth</w:t>
            </w:r>
          </w:p>
        </w:tc>
        <w:tc>
          <w:tcPr>
            <w:tcW w:w="1500" w:type="dxa"/>
            <w:tcBorders>
              <w:top w:val="single" w:sz="4" w:space="0" w:color="BFBFBF"/>
              <w:left w:val="single" w:sz="4" w:space="0" w:color="BFBFBF"/>
              <w:bottom w:val="single" w:sz="4" w:space="0" w:color="BFBFBF"/>
              <w:right w:val="single" w:sz="4" w:space="0" w:color="BFBFBF"/>
            </w:tcBorders>
            <w:shd w:val="clear" w:color="auto" w:fill="F4F9F1"/>
            <w:tcMar>
              <w:top w:w="20" w:type="dxa"/>
              <w:left w:w="60" w:type="dxa"/>
              <w:bottom w:w="20" w:type="dxa"/>
              <w:right w:w="60" w:type="dxa"/>
            </w:tcMar>
            <w:vAlign w:val="center"/>
          </w:tcPr>
          <w:p w14:paraId="03EABB03" w14:textId="77777777" w:rsidR="000B3DF0" w:rsidRDefault="00000000">
            <w:pPr>
              <w:spacing w:line="228" w:lineRule="auto"/>
              <w:jc w:val="center"/>
            </w:pPr>
            <w:r>
              <w:rPr>
                <w:sz w:val="17"/>
                <w:szCs w:val="17"/>
              </w:rPr>
              <w:t>9.0% to 11.9%</w:t>
            </w:r>
          </w:p>
        </w:tc>
        <w:tc>
          <w:tcPr>
            <w:tcW w:w="5980" w:type="dxa"/>
            <w:tcBorders>
              <w:top w:val="single" w:sz="4" w:space="0" w:color="BFBFBF"/>
              <w:left w:val="single" w:sz="4" w:space="0" w:color="BFBFBF"/>
              <w:bottom w:val="single" w:sz="4" w:space="0" w:color="BFBFBF"/>
              <w:right w:val="single" w:sz="4" w:space="0" w:color="BFBFBF"/>
            </w:tcBorders>
            <w:shd w:val="clear" w:color="auto" w:fill="F4F9F1"/>
            <w:tcMar>
              <w:top w:w="20" w:type="dxa"/>
              <w:left w:w="60" w:type="dxa"/>
              <w:bottom w:w="20" w:type="dxa"/>
              <w:right w:w="60" w:type="dxa"/>
            </w:tcMar>
            <w:vAlign w:val="center"/>
          </w:tcPr>
          <w:p w14:paraId="5F151C75" w14:textId="77777777" w:rsidR="000B3DF0" w:rsidRDefault="00000000">
            <w:pPr>
              <w:spacing w:line="228" w:lineRule="auto"/>
            </w:pPr>
            <w:r>
              <w:rPr>
                <w:sz w:val="17"/>
                <w:szCs w:val="17"/>
              </w:rPr>
              <w:t xml:space="preserve">2013 sales grew 11.7% ($580.0M vs $519.4M); Asia +14.4% and North America +12.1%. </w:t>
            </w:r>
            <w:r w:rsidR="00D44BE3">
              <w:rPr>
                <w:sz w:val="17"/>
                <w:szCs w:val="17"/>
              </w:rPr>
              <w:t xml:space="preserve">Attributed </w:t>
            </w:r>
            <w:r>
              <w:rPr>
                <w:sz w:val="17"/>
                <w:szCs w:val="17"/>
              </w:rPr>
              <w:t>Leve</w:t>
            </w:r>
            <w:r w:rsidR="00D44BE3">
              <w:rPr>
                <w:sz w:val="17"/>
                <w:szCs w:val="17"/>
              </w:rPr>
              <w:t>rs</w:t>
            </w:r>
            <w:r>
              <w:rPr>
                <w:sz w:val="17"/>
                <w:szCs w:val="17"/>
              </w:rPr>
              <w:t>: 50+ global-account targets, Shanghai model replicated in China, MIM, aluminum</w:t>
            </w:r>
            <w:r w:rsidR="00D44BE3">
              <w:rPr>
                <w:sz w:val="17"/>
                <w:szCs w:val="17"/>
              </w:rPr>
              <w:t xml:space="preserve">. </w:t>
            </w:r>
            <w:r>
              <w:rPr>
                <w:sz w:val="17"/>
                <w:szCs w:val="17"/>
              </w:rPr>
              <w:t xml:space="preserve">Third-party: </w:t>
            </w:r>
            <w:proofErr w:type="spellStart"/>
            <w:r>
              <w:rPr>
                <w:sz w:val="17"/>
                <w:szCs w:val="17"/>
              </w:rPr>
              <w:t>TechNavio</w:t>
            </w:r>
            <w:proofErr w:type="spellEnd"/>
            <w:r>
              <w:rPr>
                <w:sz w:val="17"/>
                <w:szCs w:val="17"/>
              </w:rPr>
              <w:t xml:space="preserve"> forecasts 11.89% CAGR for aluminum die casting, 2012-16 [source: </w:t>
            </w:r>
            <w:proofErr w:type="spellStart"/>
            <w:r>
              <w:rPr>
                <w:sz w:val="17"/>
                <w:szCs w:val="17"/>
              </w:rPr>
              <w:t>TechNavio</w:t>
            </w:r>
            <w:proofErr w:type="spellEnd"/>
            <w:r>
              <w:rPr>
                <w:sz w:val="17"/>
                <w:szCs w:val="17"/>
              </w:rPr>
              <w:t>]; aluminum is 19.8% of revenue.</w:t>
            </w:r>
          </w:p>
        </w:tc>
      </w:tr>
      <w:tr w:rsidR="000B3DF0" w14:paraId="1234E17D" w14:textId="77777777">
        <w:tc>
          <w:tcPr>
            <w:tcW w:w="700" w:type="dxa"/>
            <w:tcBorders>
              <w:top w:val="single" w:sz="4" w:space="0" w:color="BFBFBF"/>
              <w:left w:val="single" w:sz="4" w:space="0" w:color="BFBFBF"/>
              <w:bottom w:val="single" w:sz="4" w:space="0" w:color="BFBFBF"/>
              <w:right w:val="single" w:sz="4" w:space="0" w:color="BFBFBF"/>
            </w:tcBorders>
            <w:shd w:val="clear" w:color="auto" w:fill="F4F9F1"/>
            <w:tcMar>
              <w:top w:w="20" w:type="dxa"/>
              <w:left w:w="60" w:type="dxa"/>
              <w:bottom w:w="20" w:type="dxa"/>
              <w:right w:w="60" w:type="dxa"/>
            </w:tcMar>
            <w:vAlign w:val="center"/>
          </w:tcPr>
          <w:p w14:paraId="1BCB96AA" w14:textId="77777777" w:rsidR="000B3DF0" w:rsidRDefault="00000000">
            <w:pPr>
              <w:spacing w:line="228" w:lineRule="auto"/>
              <w:jc w:val="center"/>
            </w:pPr>
            <w:r>
              <w:rPr>
                <w:b/>
                <w:bCs/>
                <w:sz w:val="17"/>
                <w:szCs w:val="17"/>
              </w:rPr>
              <w:t>Bull</w:t>
            </w:r>
          </w:p>
        </w:tc>
        <w:tc>
          <w:tcPr>
            <w:tcW w:w="1900" w:type="dxa"/>
            <w:tcBorders>
              <w:top w:val="single" w:sz="4" w:space="0" w:color="BFBFBF"/>
              <w:left w:val="single" w:sz="4" w:space="0" w:color="BFBFBF"/>
              <w:bottom w:val="single" w:sz="4" w:space="0" w:color="BFBFBF"/>
              <w:right w:val="single" w:sz="4" w:space="0" w:color="BFBFBF"/>
            </w:tcBorders>
            <w:shd w:val="clear" w:color="auto" w:fill="F4F9F1"/>
            <w:tcMar>
              <w:top w:w="20" w:type="dxa"/>
              <w:left w:w="60" w:type="dxa"/>
              <w:bottom w:w="20" w:type="dxa"/>
              <w:right w:w="60" w:type="dxa"/>
            </w:tcMar>
            <w:vAlign w:val="center"/>
          </w:tcPr>
          <w:p w14:paraId="6C5FC216" w14:textId="77777777" w:rsidR="000B3DF0" w:rsidRDefault="00000000">
            <w:pPr>
              <w:spacing w:line="228" w:lineRule="auto"/>
            </w:pPr>
            <w:r>
              <w:rPr>
                <w:sz w:val="17"/>
                <w:szCs w:val="17"/>
              </w:rPr>
              <w:t>EBITDA margin</w:t>
            </w:r>
          </w:p>
        </w:tc>
        <w:tc>
          <w:tcPr>
            <w:tcW w:w="1500" w:type="dxa"/>
            <w:tcBorders>
              <w:top w:val="single" w:sz="4" w:space="0" w:color="BFBFBF"/>
              <w:left w:val="single" w:sz="4" w:space="0" w:color="BFBFBF"/>
              <w:bottom w:val="single" w:sz="4" w:space="0" w:color="BFBFBF"/>
              <w:right w:val="single" w:sz="4" w:space="0" w:color="BFBFBF"/>
            </w:tcBorders>
            <w:shd w:val="clear" w:color="auto" w:fill="F4F9F1"/>
            <w:tcMar>
              <w:top w:w="20" w:type="dxa"/>
              <w:left w:w="60" w:type="dxa"/>
              <w:bottom w:w="20" w:type="dxa"/>
              <w:right w:w="60" w:type="dxa"/>
            </w:tcMar>
            <w:vAlign w:val="center"/>
          </w:tcPr>
          <w:p w14:paraId="30A5A707" w14:textId="77777777" w:rsidR="000B3DF0" w:rsidRDefault="00000000">
            <w:pPr>
              <w:spacing w:line="228" w:lineRule="auto"/>
              <w:jc w:val="center"/>
            </w:pPr>
            <w:r>
              <w:rPr>
                <w:sz w:val="17"/>
                <w:szCs w:val="17"/>
              </w:rPr>
              <w:t>20.0%/21.0% to 20.5%/21.5%</w:t>
            </w:r>
          </w:p>
        </w:tc>
        <w:tc>
          <w:tcPr>
            <w:tcW w:w="5980" w:type="dxa"/>
            <w:tcBorders>
              <w:top w:val="single" w:sz="4" w:space="0" w:color="BFBFBF"/>
              <w:left w:val="single" w:sz="4" w:space="0" w:color="BFBFBF"/>
              <w:bottom w:val="single" w:sz="4" w:space="0" w:color="BFBFBF"/>
              <w:right w:val="single" w:sz="4" w:space="0" w:color="BFBFBF"/>
            </w:tcBorders>
            <w:shd w:val="clear" w:color="auto" w:fill="F4F9F1"/>
            <w:tcMar>
              <w:top w:w="20" w:type="dxa"/>
              <w:left w:w="60" w:type="dxa"/>
              <w:bottom w:w="20" w:type="dxa"/>
              <w:right w:w="60" w:type="dxa"/>
            </w:tcMar>
            <w:vAlign w:val="center"/>
          </w:tcPr>
          <w:p w14:paraId="5E0573B5" w14:textId="77777777" w:rsidR="000B3DF0" w:rsidRDefault="00000000">
            <w:pPr>
              <w:spacing w:line="228" w:lineRule="auto"/>
            </w:pPr>
            <w:r>
              <w:rPr>
                <w:sz w:val="17"/>
                <w:szCs w:val="17"/>
              </w:rPr>
              <w:t>Adjusted margin rose from 18.0% (2012-13) to 19.4% (9M-14); 9M-14 segment margins were 21.0-21.8% before 2.0% corporate cost. Multi-slide technology, in-house tooling and internal re-bidding to spare capacity support scale gains. +0.5 pt keeps margin inside observed segment levels.</w:t>
            </w:r>
          </w:p>
        </w:tc>
      </w:tr>
      <w:tr w:rsidR="000B3DF0" w14:paraId="1C4E9DCE" w14:textId="77777777">
        <w:tc>
          <w:tcPr>
            <w:tcW w:w="700" w:type="dxa"/>
            <w:tcBorders>
              <w:top w:val="single" w:sz="4" w:space="0" w:color="BFBFBF"/>
              <w:left w:val="single" w:sz="4" w:space="0" w:color="BFBFBF"/>
              <w:bottom w:val="single" w:sz="4" w:space="0" w:color="BFBFBF"/>
              <w:right w:val="single" w:sz="4" w:space="0" w:color="BFBFBF"/>
            </w:tcBorders>
            <w:shd w:val="clear" w:color="auto" w:fill="F4F9F1"/>
            <w:tcMar>
              <w:top w:w="20" w:type="dxa"/>
              <w:left w:w="60" w:type="dxa"/>
              <w:bottom w:w="20" w:type="dxa"/>
              <w:right w:w="60" w:type="dxa"/>
            </w:tcMar>
            <w:vAlign w:val="center"/>
          </w:tcPr>
          <w:p w14:paraId="11BB401F" w14:textId="77777777" w:rsidR="000B3DF0" w:rsidRDefault="00000000">
            <w:pPr>
              <w:spacing w:line="228" w:lineRule="auto"/>
              <w:jc w:val="center"/>
            </w:pPr>
            <w:r>
              <w:rPr>
                <w:b/>
                <w:bCs/>
                <w:sz w:val="17"/>
                <w:szCs w:val="17"/>
              </w:rPr>
              <w:t>Bull</w:t>
            </w:r>
          </w:p>
        </w:tc>
        <w:tc>
          <w:tcPr>
            <w:tcW w:w="1900" w:type="dxa"/>
            <w:tcBorders>
              <w:top w:val="single" w:sz="4" w:space="0" w:color="BFBFBF"/>
              <w:left w:val="single" w:sz="4" w:space="0" w:color="BFBFBF"/>
              <w:bottom w:val="single" w:sz="4" w:space="0" w:color="BFBFBF"/>
              <w:right w:val="single" w:sz="4" w:space="0" w:color="BFBFBF"/>
            </w:tcBorders>
            <w:shd w:val="clear" w:color="auto" w:fill="F4F9F1"/>
            <w:tcMar>
              <w:top w:w="20" w:type="dxa"/>
              <w:left w:w="60" w:type="dxa"/>
              <w:bottom w:w="20" w:type="dxa"/>
              <w:right w:w="60" w:type="dxa"/>
            </w:tcMar>
            <w:vAlign w:val="center"/>
          </w:tcPr>
          <w:p w14:paraId="57979238" w14:textId="77777777" w:rsidR="000B3DF0" w:rsidRDefault="00000000">
            <w:pPr>
              <w:spacing w:line="228" w:lineRule="auto"/>
            </w:pPr>
            <w:r>
              <w:rPr>
                <w:sz w:val="17"/>
                <w:szCs w:val="17"/>
              </w:rPr>
              <w:t>Exit multiple</w:t>
            </w:r>
          </w:p>
        </w:tc>
        <w:tc>
          <w:tcPr>
            <w:tcW w:w="1500" w:type="dxa"/>
            <w:tcBorders>
              <w:top w:val="single" w:sz="4" w:space="0" w:color="BFBFBF"/>
              <w:left w:val="single" w:sz="4" w:space="0" w:color="BFBFBF"/>
              <w:bottom w:val="single" w:sz="4" w:space="0" w:color="BFBFBF"/>
              <w:right w:val="single" w:sz="4" w:space="0" w:color="BFBFBF"/>
            </w:tcBorders>
            <w:shd w:val="clear" w:color="auto" w:fill="F4F9F1"/>
            <w:tcMar>
              <w:top w:w="20" w:type="dxa"/>
              <w:left w:w="60" w:type="dxa"/>
              <w:bottom w:w="20" w:type="dxa"/>
              <w:right w:w="60" w:type="dxa"/>
            </w:tcMar>
            <w:vAlign w:val="center"/>
          </w:tcPr>
          <w:p w14:paraId="6CD14795" w14:textId="77777777" w:rsidR="000B3DF0" w:rsidRDefault="00000000">
            <w:pPr>
              <w:spacing w:line="228" w:lineRule="auto"/>
              <w:jc w:val="center"/>
            </w:pPr>
            <w:r>
              <w:rPr>
                <w:sz w:val="17"/>
                <w:szCs w:val="17"/>
              </w:rPr>
              <w:t>8.9x to 10.1x</w:t>
            </w:r>
          </w:p>
        </w:tc>
        <w:tc>
          <w:tcPr>
            <w:tcW w:w="5980" w:type="dxa"/>
            <w:tcBorders>
              <w:top w:val="single" w:sz="4" w:space="0" w:color="BFBFBF"/>
              <w:left w:val="single" w:sz="4" w:space="0" w:color="BFBFBF"/>
              <w:bottom w:val="single" w:sz="4" w:space="0" w:color="BFBFBF"/>
              <w:right w:val="single" w:sz="4" w:space="0" w:color="BFBFBF"/>
            </w:tcBorders>
            <w:shd w:val="clear" w:color="auto" w:fill="F4F9F1"/>
            <w:tcMar>
              <w:top w:w="20" w:type="dxa"/>
              <w:left w:w="60" w:type="dxa"/>
              <w:bottom w:w="20" w:type="dxa"/>
              <w:right w:w="60" w:type="dxa"/>
            </w:tcMar>
            <w:vAlign w:val="center"/>
          </w:tcPr>
          <w:p w14:paraId="33B405C8" w14:textId="77777777" w:rsidR="000B3DF0" w:rsidRDefault="00000000">
            <w:pPr>
              <w:spacing w:line="228" w:lineRule="auto"/>
            </w:pPr>
            <w:r>
              <w:rPr>
                <w:sz w:val="17"/>
                <w:szCs w:val="17"/>
              </w:rPr>
              <w:t>Partners Group trading comps (11/19/14): Metal &amp; Die Casting median 10.1x T12M EV/EBITDA, mean 11.3x; football-field comps range is 9.2x-12.1x [source: Partners Group]. We use the median, not the mean.</w:t>
            </w:r>
          </w:p>
        </w:tc>
      </w:tr>
      <w:tr w:rsidR="000B3DF0" w14:paraId="3330B8B1" w14:textId="77777777">
        <w:tc>
          <w:tcPr>
            <w:tcW w:w="700" w:type="dxa"/>
            <w:tcBorders>
              <w:top w:val="single" w:sz="4" w:space="0" w:color="BFBFBF"/>
              <w:left w:val="single" w:sz="4" w:space="0" w:color="BFBFBF"/>
              <w:bottom w:val="single" w:sz="4" w:space="0" w:color="BFBFBF"/>
              <w:right w:val="single" w:sz="4" w:space="0" w:color="BFBFBF"/>
            </w:tcBorders>
            <w:shd w:val="clear" w:color="auto" w:fill="FDF3F3"/>
            <w:tcMar>
              <w:top w:w="20" w:type="dxa"/>
              <w:left w:w="60" w:type="dxa"/>
              <w:bottom w:w="20" w:type="dxa"/>
              <w:right w:w="60" w:type="dxa"/>
            </w:tcMar>
            <w:vAlign w:val="center"/>
          </w:tcPr>
          <w:p w14:paraId="0F089AA4" w14:textId="77777777" w:rsidR="000B3DF0" w:rsidRDefault="00000000">
            <w:pPr>
              <w:spacing w:line="228" w:lineRule="auto"/>
              <w:jc w:val="center"/>
            </w:pPr>
            <w:r>
              <w:rPr>
                <w:b/>
                <w:bCs/>
                <w:sz w:val="17"/>
                <w:szCs w:val="17"/>
              </w:rPr>
              <w:t>Bear</w:t>
            </w:r>
          </w:p>
        </w:tc>
        <w:tc>
          <w:tcPr>
            <w:tcW w:w="1900" w:type="dxa"/>
            <w:tcBorders>
              <w:top w:val="single" w:sz="4" w:space="0" w:color="BFBFBF"/>
              <w:left w:val="single" w:sz="4" w:space="0" w:color="BFBFBF"/>
              <w:bottom w:val="single" w:sz="4" w:space="0" w:color="BFBFBF"/>
              <w:right w:val="single" w:sz="4" w:space="0" w:color="BFBFBF"/>
            </w:tcBorders>
            <w:shd w:val="clear" w:color="auto" w:fill="FDF3F3"/>
            <w:tcMar>
              <w:top w:w="20" w:type="dxa"/>
              <w:left w:w="60" w:type="dxa"/>
              <w:bottom w:w="20" w:type="dxa"/>
              <w:right w:w="60" w:type="dxa"/>
            </w:tcMar>
            <w:vAlign w:val="center"/>
          </w:tcPr>
          <w:p w14:paraId="58213EE6" w14:textId="77777777" w:rsidR="000B3DF0" w:rsidRDefault="00000000">
            <w:pPr>
              <w:spacing w:line="228" w:lineRule="auto"/>
            </w:pPr>
            <w:r>
              <w:rPr>
                <w:sz w:val="17"/>
                <w:szCs w:val="17"/>
              </w:rPr>
              <w:t>Revenue growth</w:t>
            </w:r>
          </w:p>
        </w:tc>
        <w:tc>
          <w:tcPr>
            <w:tcW w:w="1500" w:type="dxa"/>
            <w:tcBorders>
              <w:top w:val="single" w:sz="4" w:space="0" w:color="BFBFBF"/>
              <w:left w:val="single" w:sz="4" w:space="0" w:color="BFBFBF"/>
              <w:bottom w:val="single" w:sz="4" w:space="0" w:color="BFBFBF"/>
              <w:right w:val="single" w:sz="4" w:space="0" w:color="BFBFBF"/>
            </w:tcBorders>
            <w:shd w:val="clear" w:color="auto" w:fill="FDF3F3"/>
            <w:tcMar>
              <w:top w:w="20" w:type="dxa"/>
              <w:left w:w="60" w:type="dxa"/>
              <w:bottom w:w="20" w:type="dxa"/>
              <w:right w:w="60" w:type="dxa"/>
            </w:tcMar>
            <w:vAlign w:val="center"/>
          </w:tcPr>
          <w:p w14:paraId="0E76D5AC" w14:textId="77777777" w:rsidR="000B3DF0" w:rsidRDefault="00000000">
            <w:pPr>
              <w:spacing w:line="228" w:lineRule="auto"/>
              <w:jc w:val="center"/>
            </w:pPr>
            <w:r>
              <w:rPr>
                <w:sz w:val="17"/>
                <w:szCs w:val="17"/>
              </w:rPr>
              <w:t>9.0% to 8.0%</w:t>
            </w:r>
          </w:p>
        </w:tc>
        <w:tc>
          <w:tcPr>
            <w:tcW w:w="5980" w:type="dxa"/>
            <w:tcBorders>
              <w:top w:val="single" w:sz="4" w:space="0" w:color="BFBFBF"/>
              <w:left w:val="single" w:sz="4" w:space="0" w:color="BFBFBF"/>
              <w:bottom w:val="single" w:sz="4" w:space="0" w:color="BFBFBF"/>
              <w:right w:val="single" w:sz="4" w:space="0" w:color="BFBFBF"/>
            </w:tcBorders>
            <w:shd w:val="clear" w:color="auto" w:fill="FDF3F3"/>
            <w:tcMar>
              <w:top w:w="20" w:type="dxa"/>
              <w:left w:w="60" w:type="dxa"/>
              <w:bottom w:w="20" w:type="dxa"/>
              <w:right w:w="60" w:type="dxa"/>
            </w:tcMar>
            <w:vAlign w:val="center"/>
          </w:tcPr>
          <w:p w14:paraId="7FEFF256" w14:textId="77777777" w:rsidR="000B3DF0" w:rsidRDefault="00000000">
            <w:pPr>
              <w:spacing w:line="228" w:lineRule="auto"/>
            </w:pPr>
            <w:r>
              <w:rPr>
                <w:sz w:val="17"/>
                <w:szCs w:val="17"/>
              </w:rPr>
              <w:t xml:space="preserve">Europe, the slowest segment, grew 8.0% in 2013 ($184.3M vs $170.6M) and the case flags recession, fixed costs and unpredictable demand there. No long-term contracts; orders can be delayed or cancelled; auto is 38.2% of sales. Applied </w:t>
            </w:r>
            <w:r w:rsidR="00D44BE3">
              <w:rPr>
                <w:sz w:val="17"/>
                <w:szCs w:val="17"/>
              </w:rPr>
              <w:t>company wide</w:t>
            </w:r>
            <w:r>
              <w:rPr>
                <w:sz w:val="17"/>
                <w:szCs w:val="17"/>
              </w:rPr>
              <w:t>.</w:t>
            </w:r>
          </w:p>
        </w:tc>
      </w:tr>
      <w:tr w:rsidR="000B3DF0" w14:paraId="410DFD21" w14:textId="77777777">
        <w:tc>
          <w:tcPr>
            <w:tcW w:w="700" w:type="dxa"/>
            <w:tcBorders>
              <w:top w:val="single" w:sz="4" w:space="0" w:color="BFBFBF"/>
              <w:left w:val="single" w:sz="4" w:space="0" w:color="BFBFBF"/>
              <w:bottom w:val="single" w:sz="4" w:space="0" w:color="BFBFBF"/>
              <w:right w:val="single" w:sz="4" w:space="0" w:color="BFBFBF"/>
            </w:tcBorders>
            <w:shd w:val="clear" w:color="auto" w:fill="FDF3F3"/>
            <w:tcMar>
              <w:top w:w="20" w:type="dxa"/>
              <w:left w:w="60" w:type="dxa"/>
              <w:bottom w:w="20" w:type="dxa"/>
              <w:right w:w="60" w:type="dxa"/>
            </w:tcMar>
            <w:vAlign w:val="center"/>
          </w:tcPr>
          <w:p w14:paraId="6F2A240E" w14:textId="77777777" w:rsidR="000B3DF0" w:rsidRDefault="00000000">
            <w:pPr>
              <w:spacing w:line="228" w:lineRule="auto"/>
              <w:jc w:val="center"/>
            </w:pPr>
            <w:r>
              <w:rPr>
                <w:b/>
                <w:bCs/>
                <w:sz w:val="17"/>
                <w:szCs w:val="17"/>
              </w:rPr>
              <w:t>Bear</w:t>
            </w:r>
          </w:p>
        </w:tc>
        <w:tc>
          <w:tcPr>
            <w:tcW w:w="1900" w:type="dxa"/>
            <w:tcBorders>
              <w:top w:val="single" w:sz="4" w:space="0" w:color="BFBFBF"/>
              <w:left w:val="single" w:sz="4" w:space="0" w:color="BFBFBF"/>
              <w:bottom w:val="single" w:sz="4" w:space="0" w:color="BFBFBF"/>
              <w:right w:val="single" w:sz="4" w:space="0" w:color="BFBFBF"/>
            </w:tcBorders>
            <w:shd w:val="clear" w:color="auto" w:fill="FDF3F3"/>
            <w:tcMar>
              <w:top w:w="20" w:type="dxa"/>
              <w:left w:w="60" w:type="dxa"/>
              <w:bottom w:w="20" w:type="dxa"/>
              <w:right w:w="60" w:type="dxa"/>
            </w:tcMar>
            <w:vAlign w:val="center"/>
          </w:tcPr>
          <w:p w14:paraId="3EB63169" w14:textId="77777777" w:rsidR="000B3DF0" w:rsidRDefault="00000000">
            <w:pPr>
              <w:spacing w:line="228" w:lineRule="auto"/>
            </w:pPr>
            <w:r>
              <w:rPr>
                <w:sz w:val="17"/>
                <w:szCs w:val="17"/>
              </w:rPr>
              <w:t>EBITDA margin</w:t>
            </w:r>
          </w:p>
        </w:tc>
        <w:tc>
          <w:tcPr>
            <w:tcW w:w="1500" w:type="dxa"/>
            <w:tcBorders>
              <w:top w:val="single" w:sz="4" w:space="0" w:color="BFBFBF"/>
              <w:left w:val="single" w:sz="4" w:space="0" w:color="BFBFBF"/>
              <w:bottom w:val="single" w:sz="4" w:space="0" w:color="BFBFBF"/>
              <w:right w:val="single" w:sz="4" w:space="0" w:color="BFBFBF"/>
            </w:tcBorders>
            <w:shd w:val="clear" w:color="auto" w:fill="FDF3F3"/>
            <w:tcMar>
              <w:top w:w="20" w:type="dxa"/>
              <w:left w:w="60" w:type="dxa"/>
              <w:bottom w:w="20" w:type="dxa"/>
              <w:right w:w="60" w:type="dxa"/>
            </w:tcMar>
            <w:vAlign w:val="center"/>
          </w:tcPr>
          <w:p w14:paraId="6E925A97" w14:textId="77777777" w:rsidR="000B3DF0" w:rsidRDefault="00000000">
            <w:pPr>
              <w:spacing w:line="228" w:lineRule="auto"/>
              <w:jc w:val="center"/>
            </w:pPr>
            <w:r>
              <w:rPr>
                <w:sz w:val="17"/>
                <w:szCs w:val="17"/>
              </w:rPr>
              <w:t>20.0%/21.0% to 19.5% flat</w:t>
            </w:r>
          </w:p>
        </w:tc>
        <w:tc>
          <w:tcPr>
            <w:tcW w:w="5980" w:type="dxa"/>
            <w:tcBorders>
              <w:top w:val="single" w:sz="4" w:space="0" w:color="BFBFBF"/>
              <w:left w:val="single" w:sz="4" w:space="0" w:color="BFBFBF"/>
              <w:bottom w:val="single" w:sz="4" w:space="0" w:color="BFBFBF"/>
              <w:right w:val="single" w:sz="4" w:space="0" w:color="BFBFBF"/>
            </w:tcBorders>
            <w:shd w:val="clear" w:color="auto" w:fill="FDF3F3"/>
            <w:tcMar>
              <w:top w:w="20" w:type="dxa"/>
              <w:left w:w="60" w:type="dxa"/>
              <w:bottom w:w="20" w:type="dxa"/>
              <w:right w:w="60" w:type="dxa"/>
            </w:tcMar>
            <w:vAlign w:val="center"/>
          </w:tcPr>
          <w:p w14:paraId="7FAA3DB3" w14:textId="77777777" w:rsidR="000B3DF0" w:rsidRDefault="00000000">
            <w:pPr>
              <w:spacing w:line="228" w:lineRule="auto"/>
            </w:pPr>
            <w:r>
              <w:rPr>
                <w:sz w:val="17"/>
                <w:szCs w:val="17"/>
              </w:rPr>
              <w:t>No expansion beyond the latest observed 19.4% (9M-14); margin was 18.0% in 2012-13. Metal costs pass through with a one-month lag and energy costs are unhedged.</w:t>
            </w:r>
          </w:p>
        </w:tc>
      </w:tr>
      <w:tr w:rsidR="000B3DF0" w14:paraId="330FC5E0" w14:textId="77777777">
        <w:tc>
          <w:tcPr>
            <w:tcW w:w="700" w:type="dxa"/>
            <w:tcBorders>
              <w:top w:val="single" w:sz="4" w:space="0" w:color="BFBFBF"/>
              <w:left w:val="single" w:sz="4" w:space="0" w:color="BFBFBF"/>
              <w:bottom w:val="single" w:sz="4" w:space="0" w:color="BFBFBF"/>
              <w:right w:val="single" w:sz="4" w:space="0" w:color="BFBFBF"/>
            </w:tcBorders>
            <w:shd w:val="clear" w:color="auto" w:fill="FDF3F3"/>
            <w:tcMar>
              <w:top w:w="20" w:type="dxa"/>
              <w:left w:w="60" w:type="dxa"/>
              <w:bottom w:w="20" w:type="dxa"/>
              <w:right w:w="60" w:type="dxa"/>
            </w:tcMar>
            <w:vAlign w:val="center"/>
          </w:tcPr>
          <w:p w14:paraId="50B4B3A1" w14:textId="77777777" w:rsidR="000B3DF0" w:rsidRDefault="00000000">
            <w:pPr>
              <w:spacing w:line="228" w:lineRule="auto"/>
              <w:jc w:val="center"/>
            </w:pPr>
            <w:r>
              <w:rPr>
                <w:b/>
                <w:bCs/>
                <w:sz w:val="17"/>
                <w:szCs w:val="17"/>
              </w:rPr>
              <w:lastRenderedPageBreak/>
              <w:t>Bear</w:t>
            </w:r>
          </w:p>
        </w:tc>
        <w:tc>
          <w:tcPr>
            <w:tcW w:w="1900" w:type="dxa"/>
            <w:tcBorders>
              <w:top w:val="single" w:sz="4" w:space="0" w:color="BFBFBF"/>
              <w:left w:val="single" w:sz="4" w:space="0" w:color="BFBFBF"/>
              <w:bottom w:val="single" w:sz="4" w:space="0" w:color="BFBFBF"/>
              <w:right w:val="single" w:sz="4" w:space="0" w:color="BFBFBF"/>
            </w:tcBorders>
            <w:shd w:val="clear" w:color="auto" w:fill="FDF3F3"/>
            <w:tcMar>
              <w:top w:w="20" w:type="dxa"/>
              <w:left w:w="60" w:type="dxa"/>
              <w:bottom w:w="20" w:type="dxa"/>
              <w:right w:w="60" w:type="dxa"/>
            </w:tcMar>
            <w:vAlign w:val="center"/>
          </w:tcPr>
          <w:p w14:paraId="3F5BFCC2" w14:textId="77777777" w:rsidR="000B3DF0" w:rsidRDefault="00000000">
            <w:pPr>
              <w:spacing w:line="228" w:lineRule="auto"/>
            </w:pPr>
            <w:r>
              <w:rPr>
                <w:sz w:val="17"/>
                <w:szCs w:val="17"/>
              </w:rPr>
              <w:t>Exit multiple</w:t>
            </w:r>
          </w:p>
        </w:tc>
        <w:tc>
          <w:tcPr>
            <w:tcW w:w="1500" w:type="dxa"/>
            <w:tcBorders>
              <w:top w:val="single" w:sz="4" w:space="0" w:color="BFBFBF"/>
              <w:left w:val="single" w:sz="4" w:space="0" w:color="BFBFBF"/>
              <w:bottom w:val="single" w:sz="4" w:space="0" w:color="BFBFBF"/>
              <w:right w:val="single" w:sz="4" w:space="0" w:color="BFBFBF"/>
            </w:tcBorders>
            <w:shd w:val="clear" w:color="auto" w:fill="FDF3F3"/>
            <w:tcMar>
              <w:top w:w="20" w:type="dxa"/>
              <w:left w:w="60" w:type="dxa"/>
              <w:bottom w:w="20" w:type="dxa"/>
              <w:right w:w="60" w:type="dxa"/>
            </w:tcMar>
            <w:vAlign w:val="center"/>
          </w:tcPr>
          <w:p w14:paraId="46FC6D14" w14:textId="77777777" w:rsidR="000B3DF0" w:rsidRDefault="00000000">
            <w:pPr>
              <w:spacing w:line="228" w:lineRule="auto"/>
              <w:jc w:val="center"/>
            </w:pPr>
            <w:r>
              <w:rPr>
                <w:sz w:val="17"/>
                <w:szCs w:val="17"/>
              </w:rPr>
              <w:t>8.9x to 7.63x</w:t>
            </w:r>
          </w:p>
        </w:tc>
        <w:tc>
          <w:tcPr>
            <w:tcW w:w="5980" w:type="dxa"/>
            <w:tcBorders>
              <w:top w:val="single" w:sz="4" w:space="0" w:color="BFBFBF"/>
              <w:left w:val="single" w:sz="4" w:space="0" w:color="BFBFBF"/>
              <w:bottom w:val="single" w:sz="4" w:space="0" w:color="BFBFBF"/>
              <w:right w:val="single" w:sz="4" w:space="0" w:color="BFBFBF"/>
            </w:tcBorders>
            <w:shd w:val="clear" w:color="auto" w:fill="FDF3F3"/>
            <w:tcMar>
              <w:top w:w="20" w:type="dxa"/>
              <w:left w:w="60" w:type="dxa"/>
              <w:bottom w:w="20" w:type="dxa"/>
              <w:right w:w="60" w:type="dxa"/>
            </w:tcMar>
            <w:vAlign w:val="center"/>
          </w:tcPr>
          <w:p w14:paraId="5CF1607F" w14:textId="77777777" w:rsidR="000B3DF0" w:rsidRDefault="00000000">
            <w:pPr>
              <w:spacing w:line="228" w:lineRule="auto"/>
            </w:pPr>
            <w:r>
              <w:rPr>
                <w:sz w:val="17"/>
                <w:szCs w:val="17"/>
              </w:rPr>
              <w:t>Low end of Partners Group's valuation range, $942M on $123.5M EBITDA [source: Partners Group]. Comps trade at 9.2x or more.</w:t>
            </w:r>
          </w:p>
        </w:tc>
      </w:tr>
    </w:tbl>
    <w:p w14:paraId="7F26DEC4" w14:textId="300479BA" w:rsidR="000B3DF0" w:rsidRDefault="00000000">
      <w:pPr>
        <w:keepNext/>
        <w:pBdr>
          <w:bottom w:val="single" w:sz="6" w:space="1" w:color="1F3864"/>
        </w:pBdr>
        <w:spacing w:before="140" w:after="60"/>
      </w:pPr>
      <w:r>
        <w:rPr>
          <w:b/>
          <w:bCs/>
          <w:color w:val="1F3864"/>
          <w:sz w:val="24"/>
          <w:szCs w:val="24"/>
        </w:rPr>
        <w:t xml:space="preserve">4. Returns </w:t>
      </w:r>
      <w:r w:rsidR="00CB0122">
        <w:rPr>
          <w:b/>
          <w:bCs/>
          <w:color w:val="1F3864"/>
          <w:sz w:val="24"/>
          <w:szCs w:val="24"/>
        </w:rPr>
        <w:t>A</w:t>
      </w:r>
      <w:r>
        <w:rPr>
          <w:b/>
          <w:bCs/>
          <w:color w:val="1F3864"/>
          <w:sz w:val="24"/>
          <w:szCs w:val="24"/>
        </w:rPr>
        <w:t>ttribution</w:t>
      </w:r>
    </w:p>
    <w:p w14:paraId="14BCA54F" w14:textId="4DDFFFFD" w:rsidR="00CB0122" w:rsidRDefault="00CB0122" w:rsidP="00CB0122">
      <w:pPr>
        <w:spacing w:before="40" w:after="40" w:line="252" w:lineRule="auto"/>
      </w:pPr>
      <w:r>
        <w:t>In t</w:t>
      </w:r>
      <w:r w:rsidRPr="00CB0122">
        <w:t xml:space="preserve">he Base case </w:t>
      </w:r>
      <w:r>
        <w:t xml:space="preserve">of </w:t>
      </w:r>
      <w:r w:rsidRPr="00CB0122">
        <w:t>the $893M sponsor gain, about $731M comes from EBITDA growth and $327M from debt paydown, less roughly $165M of fees and management dilution. EBITDA grows from $123.5M to $210M as revenue goes from $650M to $1,000M and margin from 19% to 21%. That is the same</w:t>
      </w:r>
      <w:r>
        <w:t xml:space="preserve"> growth we see from</w:t>
      </w:r>
      <w:r w:rsidRPr="00CB0122">
        <w:t xml:space="preserve"> Asia and North America, plus the global-account program and MIM. That cash then retires the term loan from $525M to $181M, or 4.25x leverage to 0.86x. </w:t>
      </w:r>
      <w:r w:rsidRPr="0014319D">
        <w:rPr>
          <w:b/>
          <w:bCs/>
        </w:rPr>
        <w:t>Paydown is funded by the same cash flow that EBITDA growth produces</w:t>
      </w:r>
      <w:r w:rsidRPr="00CB0122">
        <w:t>, so the two drivers rise and fall together</w:t>
      </w:r>
      <w:r>
        <w:t xml:space="preserve">, and are dependent on operating delivery. </w:t>
      </w:r>
      <w:r w:rsidRPr="0014319D">
        <w:rPr>
          <w:b/>
          <w:bCs/>
        </w:rPr>
        <w:t>Assuming</w:t>
      </w:r>
      <w:r w:rsidRPr="0014319D">
        <w:rPr>
          <w:b/>
          <w:bCs/>
        </w:rPr>
        <w:t xml:space="preserve"> no multiple expansion</w:t>
      </w:r>
      <w:r w:rsidRPr="0014319D">
        <w:rPr>
          <w:b/>
          <w:bCs/>
        </w:rPr>
        <w:t xml:space="preserve"> from the market</w:t>
      </w:r>
      <w:r w:rsidRPr="0014319D">
        <w:rPr>
          <w:b/>
          <w:bCs/>
        </w:rPr>
        <w:t xml:space="preserve"> Base exits at the 8.9x entry multiple</w:t>
      </w:r>
      <w:r w:rsidRPr="00CB0122">
        <w:t xml:space="preserve">, so none of the 2.55x depends on a higher exit price. The dilution is the management incentive pool. </w:t>
      </w:r>
    </w:p>
    <w:p w14:paraId="4D0A4A43" w14:textId="77777777" w:rsidR="00CB0122" w:rsidRDefault="00CB0122" w:rsidP="00CB0122">
      <w:pPr>
        <w:spacing w:before="40" w:after="40" w:line="252" w:lineRule="auto"/>
      </w:pPr>
    </w:p>
    <w:p w14:paraId="266B07EF" w14:textId="17B02CA4" w:rsidR="00CB0122" w:rsidRDefault="00CB0122" w:rsidP="00CB0122">
      <w:pPr>
        <w:spacing w:before="40" w:after="40" w:line="252" w:lineRule="auto"/>
      </w:pPr>
      <w:r w:rsidRPr="00CB0122">
        <w:t xml:space="preserve">The other two cases test </w:t>
      </w:r>
      <w:r>
        <w:t>our operational excellence</w:t>
      </w:r>
      <w:r w:rsidRPr="00CB0122">
        <w:t xml:space="preserve"> thesis. In Bull, selling at the 10.1x peer median adds 0.48x, but EBITDA growth still carries about 70% of the gain, so the upside is a bonus. In Bear, we cut growth to 8.0%, hold margin at 19.5%, and compress the exit to 7.63x, the low end of the sponsor's own LBO range. Compression alone costs 0.39x, yet the deal still returns 1.77x, because EBITDA growth and paydown contribute about 1.39x. The caveat is that Bear's 12.1% IRR clears our 12% floor by only 0.1 point, and an early 2017 exit at that multiple returns 7.4%. </w:t>
      </w:r>
      <w:r w:rsidRPr="0014319D">
        <w:rPr>
          <w:b/>
          <w:bCs/>
        </w:rPr>
        <w:t>The downside holds only if we keep the full five years.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80"/>
        <w:gridCol w:w="1900"/>
        <w:gridCol w:w="1900"/>
        <w:gridCol w:w="1900"/>
      </w:tblGrid>
      <w:tr w:rsidR="000B3DF0" w14:paraId="33E73449" w14:textId="77777777">
        <w:tc>
          <w:tcPr>
            <w:tcW w:w="4380" w:type="dxa"/>
            <w:tcBorders>
              <w:top w:val="single" w:sz="4" w:space="0" w:color="BFBFBF"/>
              <w:left w:val="single" w:sz="4" w:space="0" w:color="BFBFBF"/>
              <w:bottom w:val="single" w:sz="4" w:space="0" w:color="BFBFBF"/>
              <w:right w:val="single" w:sz="4" w:space="0" w:color="BFBFBF"/>
            </w:tcBorders>
            <w:shd w:val="clear" w:color="auto" w:fill="1F3864"/>
            <w:tcMar>
              <w:top w:w="20" w:type="dxa"/>
              <w:left w:w="60" w:type="dxa"/>
              <w:bottom w:w="20" w:type="dxa"/>
              <w:right w:w="60" w:type="dxa"/>
            </w:tcMar>
            <w:vAlign w:val="center"/>
          </w:tcPr>
          <w:p w14:paraId="6995A019" w14:textId="77777777" w:rsidR="000B3DF0" w:rsidRDefault="00000000">
            <w:pPr>
              <w:spacing w:line="228" w:lineRule="auto"/>
            </w:pPr>
            <w:r>
              <w:rPr>
                <w:b/>
                <w:bCs/>
                <w:color w:val="FFFFFF"/>
                <w:sz w:val="17"/>
                <w:szCs w:val="17"/>
              </w:rPr>
              <w:t>$ millions</w:t>
            </w:r>
          </w:p>
        </w:tc>
        <w:tc>
          <w:tcPr>
            <w:tcW w:w="1900" w:type="dxa"/>
            <w:tcBorders>
              <w:top w:val="single" w:sz="4" w:space="0" w:color="BFBFBF"/>
              <w:left w:val="single" w:sz="4" w:space="0" w:color="BFBFBF"/>
              <w:bottom w:val="single" w:sz="4" w:space="0" w:color="BFBFBF"/>
              <w:right w:val="single" w:sz="4" w:space="0" w:color="BFBFBF"/>
            </w:tcBorders>
            <w:shd w:val="clear" w:color="auto" w:fill="1F3864"/>
            <w:tcMar>
              <w:top w:w="20" w:type="dxa"/>
              <w:left w:w="60" w:type="dxa"/>
              <w:bottom w:w="20" w:type="dxa"/>
              <w:right w:w="60" w:type="dxa"/>
            </w:tcMar>
            <w:vAlign w:val="center"/>
          </w:tcPr>
          <w:p w14:paraId="2C2BE0DC" w14:textId="77777777" w:rsidR="000B3DF0" w:rsidRDefault="00000000">
            <w:pPr>
              <w:spacing w:line="228" w:lineRule="auto"/>
              <w:jc w:val="center"/>
            </w:pPr>
            <w:r>
              <w:rPr>
                <w:b/>
                <w:bCs/>
                <w:color w:val="FFFFFF"/>
                <w:sz w:val="17"/>
                <w:szCs w:val="17"/>
              </w:rPr>
              <w:t>Base</w:t>
            </w:r>
          </w:p>
        </w:tc>
        <w:tc>
          <w:tcPr>
            <w:tcW w:w="1900" w:type="dxa"/>
            <w:tcBorders>
              <w:top w:val="single" w:sz="4" w:space="0" w:color="BFBFBF"/>
              <w:left w:val="single" w:sz="4" w:space="0" w:color="BFBFBF"/>
              <w:bottom w:val="single" w:sz="4" w:space="0" w:color="BFBFBF"/>
              <w:right w:val="single" w:sz="4" w:space="0" w:color="BFBFBF"/>
            </w:tcBorders>
            <w:shd w:val="clear" w:color="auto" w:fill="1F3864"/>
            <w:tcMar>
              <w:top w:w="20" w:type="dxa"/>
              <w:left w:w="60" w:type="dxa"/>
              <w:bottom w:w="20" w:type="dxa"/>
              <w:right w:w="60" w:type="dxa"/>
            </w:tcMar>
            <w:vAlign w:val="center"/>
          </w:tcPr>
          <w:p w14:paraId="2A5E227A" w14:textId="77777777" w:rsidR="000B3DF0" w:rsidRDefault="00000000">
            <w:pPr>
              <w:spacing w:line="228" w:lineRule="auto"/>
              <w:jc w:val="center"/>
            </w:pPr>
            <w:r>
              <w:rPr>
                <w:b/>
                <w:bCs/>
                <w:color w:val="FFFFFF"/>
                <w:sz w:val="17"/>
                <w:szCs w:val="17"/>
              </w:rPr>
              <w:t>Bull</w:t>
            </w:r>
          </w:p>
        </w:tc>
        <w:tc>
          <w:tcPr>
            <w:tcW w:w="1900" w:type="dxa"/>
            <w:tcBorders>
              <w:top w:val="single" w:sz="4" w:space="0" w:color="BFBFBF"/>
              <w:left w:val="single" w:sz="4" w:space="0" w:color="BFBFBF"/>
              <w:bottom w:val="single" w:sz="4" w:space="0" w:color="BFBFBF"/>
              <w:right w:val="single" w:sz="4" w:space="0" w:color="BFBFBF"/>
            </w:tcBorders>
            <w:shd w:val="clear" w:color="auto" w:fill="1F3864"/>
            <w:tcMar>
              <w:top w:w="20" w:type="dxa"/>
              <w:left w:w="60" w:type="dxa"/>
              <w:bottom w:w="20" w:type="dxa"/>
              <w:right w:w="60" w:type="dxa"/>
            </w:tcMar>
            <w:vAlign w:val="center"/>
          </w:tcPr>
          <w:p w14:paraId="785D71E4" w14:textId="77777777" w:rsidR="000B3DF0" w:rsidRDefault="00000000">
            <w:pPr>
              <w:spacing w:line="228" w:lineRule="auto"/>
              <w:jc w:val="center"/>
            </w:pPr>
            <w:r>
              <w:rPr>
                <w:b/>
                <w:bCs/>
                <w:color w:val="FFFFFF"/>
                <w:sz w:val="17"/>
                <w:szCs w:val="17"/>
              </w:rPr>
              <w:t>Bear</w:t>
            </w:r>
          </w:p>
        </w:tc>
      </w:tr>
      <w:tr w:rsidR="000B3DF0" w14:paraId="37A87A75" w14:textId="77777777">
        <w:tc>
          <w:tcPr>
            <w:tcW w:w="4380" w:type="dxa"/>
            <w:tcBorders>
              <w:top w:val="single" w:sz="4" w:space="0" w:color="BFBFBF"/>
              <w:left w:val="single" w:sz="4" w:space="0" w:color="BFBFBF"/>
              <w:bottom w:val="single" w:sz="4" w:space="0" w:color="BFBFBF"/>
              <w:right w:val="single" w:sz="4" w:space="0" w:color="BFBFBF"/>
            </w:tcBorders>
            <w:tcMar>
              <w:top w:w="20" w:type="dxa"/>
              <w:left w:w="60" w:type="dxa"/>
              <w:bottom w:w="20" w:type="dxa"/>
              <w:right w:w="60" w:type="dxa"/>
            </w:tcMar>
            <w:vAlign w:val="center"/>
          </w:tcPr>
          <w:p w14:paraId="47CDA31F" w14:textId="77777777" w:rsidR="000B3DF0" w:rsidRDefault="00000000">
            <w:pPr>
              <w:spacing w:line="228" w:lineRule="auto"/>
            </w:pPr>
            <w:r>
              <w:rPr>
                <w:sz w:val="17"/>
                <w:szCs w:val="17"/>
              </w:rPr>
              <w:t>Equity value, all holders: invested at entry</w:t>
            </w:r>
          </w:p>
        </w:tc>
        <w:tc>
          <w:tcPr>
            <w:tcW w:w="1900" w:type="dxa"/>
            <w:tcBorders>
              <w:top w:val="single" w:sz="4" w:space="0" w:color="BFBFBF"/>
              <w:left w:val="single" w:sz="4" w:space="0" w:color="BFBFBF"/>
              <w:bottom w:val="single" w:sz="4" w:space="0" w:color="BFBFBF"/>
              <w:right w:val="single" w:sz="4" w:space="0" w:color="BFBFBF"/>
            </w:tcBorders>
            <w:tcMar>
              <w:top w:w="20" w:type="dxa"/>
              <w:left w:w="60" w:type="dxa"/>
              <w:bottom w:w="20" w:type="dxa"/>
              <w:right w:w="60" w:type="dxa"/>
            </w:tcMar>
            <w:vAlign w:val="center"/>
          </w:tcPr>
          <w:p w14:paraId="36F7A47E" w14:textId="77777777" w:rsidR="000B3DF0" w:rsidRDefault="00000000">
            <w:pPr>
              <w:spacing w:line="228" w:lineRule="auto"/>
              <w:jc w:val="right"/>
            </w:pPr>
            <w:r>
              <w:rPr>
                <w:sz w:val="17"/>
                <w:szCs w:val="17"/>
              </w:rPr>
              <w:t>607.2</w:t>
            </w:r>
          </w:p>
        </w:tc>
        <w:tc>
          <w:tcPr>
            <w:tcW w:w="1900" w:type="dxa"/>
            <w:tcBorders>
              <w:top w:val="single" w:sz="4" w:space="0" w:color="BFBFBF"/>
              <w:left w:val="single" w:sz="4" w:space="0" w:color="BFBFBF"/>
              <w:bottom w:val="single" w:sz="4" w:space="0" w:color="BFBFBF"/>
              <w:right w:val="single" w:sz="4" w:space="0" w:color="BFBFBF"/>
            </w:tcBorders>
            <w:tcMar>
              <w:top w:w="20" w:type="dxa"/>
              <w:left w:w="60" w:type="dxa"/>
              <w:bottom w:w="20" w:type="dxa"/>
              <w:right w:w="60" w:type="dxa"/>
            </w:tcMar>
            <w:vAlign w:val="center"/>
          </w:tcPr>
          <w:p w14:paraId="556E5382" w14:textId="77777777" w:rsidR="000B3DF0" w:rsidRDefault="00000000">
            <w:pPr>
              <w:spacing w:line="228" w:lineRule="auto"/>
              <w:jc w:val="right"/>
            </w:pPr>
            <w:r>
              <w:rPr>
                <w:sz w:val="17"/>
                <w:szCs w:val="17"/>
              </w:rPr>
              <w:t>607.2</w:t>
            </w:r>
          </w:p>
        </w:tc>
        <w:tc>
          <w:tcPr>
            <w:tcW w:w="1900" w:type="dxa"/>
            <w:tcBorders>
              <w:top w:val="single" w:sz="4" w:space="0" w:color="BFBFBF"/>
              <w:left w:val="single" w:sz="4" w:space="0" w:color="BFBFBF"/>
              <w:bottom w:val="single" w:sz="4" w:space="0" w:color="BFBFBF"/>
              <w:right w:val="single" w:sz="4" w:space="0" w:color="BFBFBF"/>
            </w:tcBorders>
            <w:tcMar>
              <w:top w:w="20" w:type="dxa"/>
              <w:left w:w="60" w:type="dxa"/>
              <w:bottom w:w="20" w:type="dxa"/>
              <w:right w:w="60" w:type="dxa"/>
            </w:tcMar>
            <w:vAlign w:val="center"/>
          </w:tcPr>
          <w:p w14:paraId="048684FC" w14:textId="77777777" w:rsidR="000B3DF0" w:rsidRDefault="00000000">
            <w:pPr>
              <w:spacing w:line="228" w:lineRule="auto"/>
              <w:jc w:val="right"/>
            </w:pPr>
            <w:r>
              <w:rPr>
                <w:sz w:val="17"/>
                <w:szCs w:val="17"/>
              </w:rPr>
              <w:t>607.2</w:t>
            </w:r>
          </w:p>
        </w:tc>
      </w:tr>
      <w:tr w:rsidR="000B3DF0" w14:paraId="193D484A" w14:textId="77777777">
        <w:tc>
          <w:tcPr>
            <w:tcW w:w="4380" w:type="dxa"/>
            <w:tcBorders>
              <w:top w:val="single" w:sz="4" w:space="0" w:color="BFBFBF"/>
              <w:left w:val="single" w:sz="4" w:space="0" w:color="BFBFBF"/>
              <w:bottom w:val="single" w:sz="4" w:space="0" w:color="BFBFBF"/>
              <w:right w:val="single" w:sz="4" w:space="0" w:color="BFBFBF"/>
            </w:tcBorders>
            <w:tcMar>
              <w:top w:w="20" w:type="dxa"/>
              <w:left w:w="60" w:type="dxa"/>
              <w:bottom w:w="20" w:type="dxa"/>
              <w:right w:w="60" w:type="dxa"/>
            </w:tcMar>
            <w:vAlign w:val="center"/>
          </w:tcPr>
          <w:p w14:paraId="556EBC36" w14:textId="77777777" w:rsidR="000B3DF0" w:rsidRDefault="00000000">
            <w:pPr>
              <w:spacing w:line="228" w:lineRule="auto"/>
            </w:pPr>
            <w:r>
              <w:rPr>
                <w:sz w:val="17"/>
                <w:szCs w:val="17"/>
              </w:rPr>
              <w:t xml:space="preserve">  + EBITDA growth (at entry multiple)</w:t>
            </w:r>
          </w:p>
        </w:tc>
        <w:tc>
          <w:tcPr>
            <w:tcW w:w="1900" w:type="dxa"/>
            <w:tcBorders>
              <w:top w:val="single" w:sz="4" w:space="0" w:color="BFBFBF"/>
              <w:left w:val="single" w:sz="4" w:space="0" w:color="BFBFBF"/>
              <w:bottom w:val="single" w:sz="4" w:space="0" w:color="BFBFBF"/>
              <w:right w:val="single" w:sz="4" w:space="0" w:color="BFBFBF"/>
            </w:tcBorders>
            <w:tcMar>
              <w:top w:w="20" w:type="dxa"/>
              <w:left w:w="60" w:type="dxa"/>
              <w:bottom w:w="20" w:type="dxa"/>
              <w:right w:w="60" w:type="dxa"/>
            </w:tcMar>
            <w:vAlign w:val="center"/>
          </w:tcPr>
          <w:p w14:paraId="14373810" w14:textId="77777777" w:rsidR="000B3DF0" w:rsidRDefault="00000000">
            <w:pPr>
              <w:spacing w:line="228" w:lineRule="auto"/>
              <w:jc w:val="right"/>
            </w:pPr>
            <w:r>
              <w:rPr>
                <w:sz w:val="17"/>
                <w:szCs w:val="17"/>
              </w:rPr>
              <w:t>770.0</w:t>
            </w:r>
          </w:p>
        </w:tc>
        <w:tc>
          <w:tcPr>
            <w:tcW w:w="1900" w:type="dxa"/>
            <w:tcBorders>
              <w:top w:val="single" w:sz="4" w:space="0" w:color="BFBFBF"/>
              <w:left w:val="single" w:sz="4" w:space="0" w:color="BFBFBF"/>
              <w:bottom w:val="single" w:sz="4" w:space="0" w:color="BFBFBF"/>
              <w:right w:val="single" w:sz="4" w:space="0" w:color="BFBFBF"/>
            </w:tcBorders>
            <w:tcMar>
              <w:top w:w="20" w:type="dxa"/>
              <w:left w:w="60" w:type="dxa"/>
              <w:bottom w:w="20" w:type="dxa"/>
              <w:right w:w="60" w:type="dxa"/>
            </w:tcMar>
            <w:vAlign w:val="center"/>
          </w:tcPr>
          <w:p w14:paraId="256E8C7D" w14:textId="77777777" w:rsidR="000B3DF0" w:rsidRDefault="00000000">
            <w:pPr>
              <w:spacing w:line="228" w:lineRule="auto"/>
              <w:jc w:val="right"/>
            </w:pPr>
            <w:r>
              <w:rPr>
                <w:sz w:val="17"/>
                <w:szCs w:val="17"/>
              </w:rPr>
              <w:t>1,083.0</w:t>
            </w:r>
          </w:p>
        </w:tc>
        <w:tc>
          <w:tcPr>
            <w:tcW w:w="1900" w:type="dxa"/>
            <w:tcBorders>
              <w:top w:val="single" w:sz="4" w:space="0" w:color="BFBFBF"/>
              <w:left w:val="single" w:sz="4" w:space="0" w:color="BFBFBF"/>
              <w:bottom w:val="single" w:sz="4" w:space="0" w:color="BFBFBF"/>
              <w:right w:val="single" w:sz="4" w:space="0" w:color="BFBFBF"/>
            </w:tcBorders>
            <w:tcMar>
              <w:top w:w="20" w:type="dxa"/>
              <w:left w:w="60" w:type="dxa"/>
              <w:bottom w:w="20" w:type="dxa"/>
              <w:right w:w="60" w:type="dxa"/>
            </w:tcMar>
            <w:vAlign w:val="center"/>
          </w:tcPr>
          <w:p w14:paraId="1D10669D" w14:textId="77777777" w:rsidR="000B3DF0" w:rsidRDefault="00000000">
            <w:pPr>
              <w:spacing w:line="228" w:lineRule="auto"/>
              <w:jc w:val="right"/>
            </w:pPr>
            <w:r>
              <w:rPr>
                <w:sz w:val="17"/>
                <w:szCs w:val="17"/>
              </w:rPr>
              <w:t>558.4</w:t>
            </w:r>
          </w:p>
        </w:tc>
      </w:tr>
      <w:tr w:rsidR="000B3DF0" w14:paraId="6F2F818F" w14:textId="77777777">
        <w:tc>
          <w:tcPr>
            <w:tcW w:w="4380" w:type="dxa"/>
            <w:tcBorders>
              <w:top w:val="single" w:sz="4" w:space="0" w:color="BFBFBF"/>
              <w:left w:val="single" w:sz="4" w:space="0" w:color="BFBFBF"/>
              <w:bottom w:val="single" w:sz="4" w:space="0" w:color="BFBFBF"/>
              <w:right w:val="single" w:sz="4" w:space="0" w:color="BFBFBF"/>
            </w:tcBorders>
            <w:tcMar>
              <w:top w:w="20" w:type="dxa"/>
              <w:left w:w="60" w:type="dxa"/>
              <w:bottom w:w="20" w:type="dxa"/>
              <w:right w:w="60" w:type="dxa"/>
            </w:tcMar>
            <w:vAlign w:val="center"/>
          </w:tcPr>
          <w:p w14:paraId="5F0AFBA6" w14:textId="77777777" w:rsidR="000B3DF0" w:rsidRDefault="00000000">
            <w:pPr>
              <w:spacing w:line="228" w:lineRule="auto"/>
            </w:pPr>
            <w:r>
              <w:rPr>
                <w:sz w:val="17"/>
                <w:szCs w:val="17"/>
              </w:rPr>
              <w:t xml:space="preserve">  + Multiple expansion (on exit EBITDA)</w:t>
            </w:r>
          </w:p>
        </w:tc>
        <w:tc>
          <w:tcPr>
            <w:tcW w:w="1900" w:type="dxa"/>
            <w:tcBorders>
              <w:top w:val="single" w:sz="4" w:space="0" w:color="BFBFBF"/>
              <w:left w:val="single" w:sz="4" w:space="0" w:color="BFBFBF"/>
              <w:bottom w:val="single" w:sz="4" w:space="0" w:color="BFBFBF"/>
              <w:right w:val="single" w:sz="4" w:space="0" w:color="BFBFBF"/>
            </w:tcBorders>
            <w:tcMar>
              <w:top w:w="20" w:type="dxa"/>
              <w:left w:w="60" w:type="dxa"/>
              <w:bottom w:w="20" w:type="dxa"/>
              <w:right w:w="60" w:type="dxa"/>
            </w:tcMar>
            <w:vAlign w:val="center"/>
          </w:tcPr>
          <w:p w14:paraId="4364F50F" w14:textId="77777777" w:rsidR="000B3DF0" w:rsidRDefault="00000000">
            <w:pPr>
              <w:spacing w:line="228" w:lineRule="auto"/>
              <w:jc w:val="right"/>
            </w:pPr>
            <w:r>
              <w:rPr>
                <w:sz w:val="17"/>
                <w:szCs w:val="17"/>
              </w:rPr>
              <w:t>0.0</w:t>
            </w:r>
          </w:p>
        </w:tc>
        <w:tc>
          <w:tcPr>
            <w:tcW w:w="1900" w:type="dxa"/>
            <w:tcBorders>
              <w:top w:val="single" w:sz="4" w:space="0" w:color="BFBFBF"/>
              <w:left w:val="single" w:sz="4" w:space="0" w:color="BFBFBF"/>
              <w:bottom w:val="single" w:sz="4" w:space="0" w:color="BFBFBF"/>
              <w:right w:val="single" w:sz="4" w:space="0" w:color="BFBFBF"/>
            </w:tcBorders>
            <w:tcMar>
              <w:top w:w="20" w:type="dxa"/>
              <w:left w:w="60" w:type="dxa"/>
              <w:bottom w:w="20" w:type="dxa"/>
              <w:right w:w="60" w:type="dxa"/>
            </w:tcMar>
            <w:vAlign w:val="center"/>
          </w:tcPr>
          <w:p w14:paraId="131A0D8E" w14:textId="77777777" w:rsidR="000B3DF0" w:rsidRDefault="00000000">
            <w:pPr>
              <w:spacing w:line="228" w:lineRule="auto"/>
              <w:jc w:val="right"/>
            </w:pPr>
            <w:r>
              <w:rPr>
                <w:sz w:val="17"/>
                <w:szCs w:val="17"/>
              </w:rPr>
              <w:t>294.2</w:t>
            </w:r>
          </w:p>
        </w:tc>
        <w:tc>
          <w:tcPr>
            <w:tcW w:w="1900" w:type="dxa"/>
            <w:tcBorders>
              <w:top w:val="single" w:sz="4" w:space="0" w:color="BFBFBF"/>
              <w:left w:val="single" w:sz="4" w:space="0" w:color="BFBFBF"/>
              <w:bottom w:val="single" w:sz="4" w:space="0" w:color="BFBFBF"/>
              <w:right w:val="single" w:sz="4" w:space="0" w:color="BFBFBF"/>
            </w:tcBorders>
            <w:tcMar>
              <w:top w:w="20" w:type="dxa"/>
              <w:left w:w="60" w:type="dxa"/>
              <w:bottom w:w="20" w:type="dxa"/>
              <w:right w:w="60" w:type="dxa"/>
            </w:tcMar>
            <w:vAlign w:val="center"/>
          </w:tcPr>
          <w:p w14:paraId="6986B08A" w14:textId="77777777" w:rsidR="000B3DF0" w:rsidRDefault="00000000">
            <w:pPr>
              <w:spacing w:line="228" w:lineRule="auto"/>
              <w:jc w:val="right"/>
            </w:pPr>
            <w:r>
              <w:rPr>
                <w:sz w:val="17"/>
                <w:szCs w:val="17"/>
              </w:rPr>
              <w:t>(237.0)</w:t>
            </w:r>
          </w:p>
        </w:tc>
      </w:tr>
      <w:tr w:rsidR="000B3DF0" w14:paraId="2660F6F5" w14:textId="77777777">
        <w:tc>
          <w:tcPr>
            <w:tcW w:w="4380" w:type="dxa"/>
            <w:tcBorders>
              <w:top w:val="single" w:sz="4" w:space="0" w:color="BFBFBF"/>
              <w:left w:val="single" w:sz="4" w:space="0" w:color="BFBFBF"/>
              <w:bottom w:val="single" w:sz="4" w:space="0" w:color="BFBFBF"/>
              <w:right w:val="single" w:sz="4" w:space="0" w:color="BFBFBF"/>
            </w:tcBorders>
            <w:tcMar>
              <w:top w:w="20" w:type="dxa"/>
              <w:left w:w="60" w:type="dxa"/>
              <w:bottom w:w="20" w:type="dxa"/>
              <w:right w:w="60" w:type="dxa"/>
            </w:tcMar>
            <w:vAlign w:val="center"/>
          </w:tcPr>
          <w:p w14:paraId="0C8A4C94" w14:textId="77777777" w:rsidR="000B3DF0" w:rsidRDefault="00000000">
            <w:pPr>
              <w:spacing w:line="228" w:lineRule="auto"/>
            </w:pPr>
            <w:r>
              <w:rPr>
                <w:sz w:val="17"/>
                <w:szCs w:val="17"/>
              </w:rPr>
              <w:t xml:space="preserve">  + Debt paydown</w:t>
            </w:r>
          </w:p>
        </w:tc>
        <w:tc>
          <w:tcPr>
            <w:tcW w:w="1900" w:type="dxa"/>
            <w:tcBorders>
              <w:top w:val="single" w:sz="4" w:space="0" w:color="BFBFBF"/>
              <w:left w:val="single" w:sz="4" w:space="0" w:color="BFBFBF"/>
              <w:bottom w:val="single" w:sz="4" w:space="0" w:color="BFBFBF"/>
              <w:right w:val="single" w:sz="4" w:space="0" w:color="BFBFBF"/>
            </w:tcBorders>
            <w:tcMar>
              <w:top w:w="20" w:type="dxa"/>
              <w:left w:w="60" w:type="dxa"/>
              <w:bottom w:w="20" w:type="dxa"/>
              <w:right w:w="60" w:type="dxa"/>
            </w:tcMar>
            <w:vAlign w:val="center"/>
          </w:tcPr>
          <w:p w14:paraId="30A88689" w14:textId="77777777" w:rsidR="000B3DF0" w:rsidRDefault="00000000">
            <w:pPr>
              <w:spacing w:line="228" w:lineRule="auto"/>
              <w:jc w:val="right"/>
            </w:pPr>
            <w:r>
              <w:rPr>
                <w:sz w:val="17"/>
                <w:szCs w:val="17"/>
              </w:rPr>
              <w:t>344.3</w:t>
            </w:r>
          </w:p>
        </w:tc>
        <w:tc>
          <w:tcPr>
            <w:tcW w:w="1900" w:type="dxa"/>
            <w:tcBorders>
              <w:top w:val="single" w:sz="4" w:space="0" w:color="BFBFBF"/>
              <w:left w:val="single" w:sz="4" w:space="0" w:color="BFBFBF"/>
              <w:bottom w:val="single" w:sz="4" w:space="0" w:color="BFBFBF"/>
              <w:right w:val="single" w:sz="4" w:space="0" w:color="BFBFBF"/>
            </w:tcBorders>
            <w:tcMar>
              <w:top w:w="20" w:type="dxa"/>
              <w:left w:w="60" w:type="dxa"/>
              <w:bottom w:w="20" w:type="dxa"/>
              <w:right w:w="60" w:type="dxa"/>
            </w:tcMar>
            <w:vAlign w:val="center"/>
          </w:tcPr>
          <w:p w14:paraId="4C3DF529" w14:textId="77777777" w:rsidR="000B3DF0" w:rsidRDefault="00000000">
            <w:pPr>
              <w:spacing w:line="228" w:lineRule="auto"/>
              <w:jc w:val="right"/>
            </w:pPr>
            <w:r>
              <w:rPr>
                <w:sz w:val="17"/>
                <w:szCs w:val="17"/>
              </w:rPr>
              <w:t>404.1</w:t>
            </w:r>
          </w:p>
        </w:tc>
        <w:tc>
          <w:tcPr>
            <w:tcW w:w="1900" w:type="dxa"/>
            <w:tcBorders>
              <w:top w:val="single" w:sz="4" w:space="0" w:color="BFBFBF"/>
              <w:left w:val="single" w:sz="4" w:space="0" w:color="BFBFBF"/>
              <w:bottom w:val="single" w:sz="4" w:space="0" w:color="BFBFBF"/>
              <w:right w:val="single" w:sz="4" w:space="0" w:color="BFBFBF"/>
            </w:tcBorders>
            <w:tcMar>
              <w:top w:w="20" w:type="dxa"/>
              <w:left w:w="60" w:type="dxa"/>
              <w:bottom w:w="20" w:type="dxa"/>
              <w:right w:w="60" w:type="dxa"/>
            </w:tcMar>
            <w:vAlign w:val="center"/>
          </w:tcPr>
          <w:p w14:paraId="7FF2F2FE" w14:textId="77777777" w:rsidR="000B3DF0" w:rsidRDefault="00000000">
            <w:pPr>
              <w:spacing w:line="228" w:lineRule="auto"/>
              <w:jc w:val="right"/>
            </w:pPr>
            <w:r>
              <w:rPr>
                <w:sz w:val="17"/>
                <w:szCs w:val="17"/>
              </w:rPr>
              <w:t>283.1</w:t>
            </w:r>
          </w:p>
        </w:tc>
      </w:tr>
      <w:tr w:rsidR="000B3DF0" w14:paraId="67C7FB20" w14:textId="77777777">
        <w:tc>
          <w:tcPr>
            <w:tcW w:w="4380" w:type="dxa"/>
            <w:tcBorders>
              <w:top w:val="single" w:sz="4" w:space="0" w:color="BFBFBF"/>
              <w:left w:val="single" w:sz="4" w:space="0" w:color="BFBFBF"/>
              <w:bottom w:val="single" w:sz="4" w:space="0" w:color="BFBFBF"/>
              <w:right w:val="single" w:sz="4" w:space="0" w:color="BFBFBF"/>
            </w:tcBorders>
            <w:tcMar>
              <w:top w:w="20" w:type="dxa"/>
              <w:left w:w="60" w:type="dxa"/>
              <w:bottom w:w="20" w:type="dxa"/>
              <w:right w:w="60" w:type="dxa"/>
            </w:tcMar>
            <w:vAlign w:val="center"/>
          </w:tcPr>
          <w:p w14:paraId="70EED211" w14:textId="77777777" w:rsidR="000B3DF0" w:rsidRDefault="00000000">
            <w:pPr>
              <w:spacing w:line="228" w:lineRule="auto"/>
            </w:pPr>
            <w:r>
              <w:rPr>
                <w:sz w:val="17"/>
                <w:szCs w:val="17"/>
              </w:rPr>
              <w:t xml:space="preserve">  - Entry and exit fees</w:t>
            </w:r>
          </w:p>
        </w:tc>
        <w:tc>
          <w:tcPr>
            <w:tcW w:w="1900" w:type="dxa"/>
            <w:tcBorders>
              <w:top w:val="single" w:sz="4" w:space="0" w:color="BFBFBF"/>
              <w:left w:val="single" w:sz="4" w:space="0" w:color="BFBFBF"/>
              <w:bottom w:val="single" w:sz="4" w:space="0" w:color="BFBFBF"/>
              <w:right w:val="single" w:sz="4" w:space="0" w:color="BFBFBF"/>
            </w:tcBorders>
            <w:tcMar>
              <w:top w:w="20" w:type="dxa"/>
              <w:left w:w="60" w:type="dxa"/>
              <w:bottom w:w="20" w:type="dxa"/>
              <w:right w:w="60" w:type="dxa"/>
            </w:tcMar>
            <w:vAlign w:val="center"/>
          </w:tcPr>
          <w:p w14:paraId="14FDD7CE" w14:textId="77777777" w:rsidR="000B3DF0" w:rsidRDefault="00000000">
            <w:pPr>
              <w:spacing w:line="228" w:lineRule="auto"/>
              <w:jc w:val="right"/>
            </w:pPr>
            <w:r>
              <w:rPr>
                <w:sz w:val="17"/>
                <w:szCs w:val="17"/>
              </w:rPr>
              <w:t>(89.1)</w:t>
            </w:r>
          </w:p>
        </w:tc>
        <w:tc>
          <w:tcPr>
            <w:tcW w:w="1900" w:type="dxa"/>
            <w:tcBorders>
              <w:top w:val="single" w:sz="4" w:space="0" w:color="BFBFBF"/>
              <w:left w:val="single" w:sz="4" w:space="0" w:color="BFBFBF"/>
              <w:bottom w:val="single" w:sz="4" w:space="0" w:color="BFBFBF"/>
              <w:right w:val="single" w:sz="4" w:space="0" w:color="BFBFBF"/>
            </w:tcBorders>
            <w:tcMar>
              <w:top w:w="20" w:type="dxa"/>
              <w:left w:w="60" w:type="dxa"/>
              <w:bottom w:w="20" w:type="dxa"/>
              <w:right w:w="60" w:type="dxa"/>
            </w:tcMar>
            <w:vAlign w:val="center"/>
          </w:tcPr>
          <w:p w14:paraId="694CB69A" w14:textId="77777777" w:rsidR="000B3DF0" w:rsidRDefault="00000000">
            <w:pPr>
              <w:spacing w:line="228" w:lineRule="auto"/>
              <w:jc w:val="right"/>
            </w:pPr>
            <w:r>
              <w:rPr>
                <w:sz w:val="17"/>
                <w:szCs w:val="17"/>
              </w:rPr>
              <w:t>(107.3)</w:t>
            </w:r>
          </w:p>
        </w:tc>
        <w:tc>
          <w:tcPr>
            <w:tcW w:w="1900" w:type="dxa"/>
            <w:tcBorders>
              <w:top w:val="single" w:sz="4" w:space="0" w:color="BFBFBF"/>
              <w:left w:val="single" w:sz="4" w:space="0" w:color="BFBFBF"/>
              <w:bottom w:val="single" w:sz="4" w:space="0" w:color="BFBFBF"/>
              <w:right w:val="single" w:sz="4" w:space="0" w:color="BFBFBF"/>
            </w:tcBorders>
            <w:tcMar>
              <w:top w:w="20" w:type="dxa"/>
              <w:left w:w="60" w:type="dxa"/>
              <w:bottom w:w="20" w:type="dxa"/>
              <w:right w:w="60" w:type="dxa"/>
            </w:tcMar>
            <w:vAlign w:val="center"/>
          </w:tcPr>
          <w:p w14:paraId="3F0617B3" w14:textId="77777777" w:rsidR="000B3DF0" w:rsidRDefault="00000000">
            <w:pPr>
              <w:spacing w:line="228" w:lineRule="auto"/>
              <w:jc w:val="right"/>
            </w:pPr>
            <w:r>
              <w:rPr>
                <w:sz w:val="17"/>
                <w:szCs w:val="17"/>
              </w:rPr>
              <w:t>(75.6)</w:t>
            </w:r>
          </w:p>
        </w:tc>
      </w:tr>
      <w:tr w:rsidR="000B3DF0" w14:paraId="68972131" w14:textId="77777777">
        <w:tc>
          <w:tcPr>
            <w:tcW w:w="4380" w:type="dxa"/>
            <w:tcBorders>
              <w:top w:val="single" w:sz="4" w:space="0" w:color="BFBFBF"/>
              <w:left w:val="single" w:sz="4" w:space="0" w:color="BFBFBF"/>
              <w:bottom w:val="single" w:sz="4" w:space="0" w:color="BFBFBF"/>
              <w:right w:val="single" w:sz="4" w:space="0" w:color="BFBFBF"/>
            </w:tcBorders>
            <w:shd w:val="clear" w:color="auto" w:fill="EEF2F8"/>
            <w:tcMar>
              <w:top w:w="20" w:type="dxa"/>
              <w:left w:w="60" w:type="dxa"/>
              <w:bottom w:w="20" w:type="dxa"/>
              <w:right w:w="60" w:type="dxa"/>
            </w:tcMar>
            <w:vAlign w:val="center"/>
          </w:tcPr>
          <w:p w14:paraId="7DF9F74D" w14:textId="77777777" w:rsidR="000B3DF0" w:rsidRDefault="00000000">
            <w:pPr>
              <w:spacing w:line="228" w:lineRule="auto"/>
            </w:pPr>
            <w:r>
              <w:rPr>
                <w:b/>
                <w:bCs/>
                <w:sz w:val="17"/>
                <w:szCs w:val="17"/>
              </w:rPr>
              <w:t xml:space="preserve">  = Equity value at exit (ties to model)</w:t>
            </w:r>
          </w:p>
        </w:tc>
        <w:tc>
          <w:tcPr>
            <w:tcW w:w="1900" w:type="dxa"/>
            <w:tcBorders>
              <w:top w:val="single" w:sz="4" w:space="0" w:color="BFBFBF"/>
              <w:left w:val="single" w:sz="4" w:space="0" w:color="BFBFBF"/>
              <w:bottom w:val="single" w:sz="4" w:space="0" w:color="BFBFBF"/>
              <w:right w:val="single" w:sz="4" w:space="0" w:color="BFBFBF"/>
            </w:tcBorders>
            <w:shd w:val="clear" w:color="auto" w:fill="EEF2F8"/>
            <w:tcMar>
              <w:top w:w="20" w:type="dxa"/>
              <w:left w:w="60" w:type="dxa"/>
              <w:bottom w:w="20" w:type="dxa"/>
              <w:right w:w="60" w:type="dxa"/>
            </w:tcMar>
            <w:vAlign w:val="center"/>
          </w:tcPr>
          <w:p w14:paraId="79914EC3" w14:textId="77777777" w:rsidR="000B3DF0" w:rsidRDefault="00000000">
            <w:pPr>
              <w:spacing w:line="228" w:lineRule="auto"/>
              <w:jc w:val="right"/>
            </w:pPr>
            <w:r>
              <w:rPr>
                <w:b/>
                <w:bCs/>
                <w:sz w:val="17"/>
                <w:szCs w:val="17"/>
              </w:rPr>
              <w:t>1,632.5</w:t>
            </w:r>
          </w:p>
        </w:tc>
        <w:tc>
          <w:tcPr>
            <w:tcW w:w="1900" w:type="dxa"/>
            <w:tcBorders>
              <w:top w:val="single" w:sz="4" w:space="0" w:color="BFBFBF"/>
              <w:left w:val="single" w:sz="4" w:space="0" w:color="BFBFBF"/>
              <w:bottom w:val="single" w:sz="4" w:space="0" w:color="BFBFBF"/>
              <w:right w:val="single" w:sz="4" w:space="0" w:color="BFBFBF"/>
            </w:tcBorders>
            <w:shd w:val="clear" w:color="auto" w:fill="EEF2F8"/>
            <w:tcMar>
              <w:top w:w="20" w:type="dxa"/>
              <w:left w:w="60" w:type="dxa"/>
              <w:bottom w:w="20" w:type="dxa"/>
              <w:right w:w="60" w:type="dxa"/>
            </w:tcMar>
            <w:vAlign w:val="center"/>
          </w:tcPr>
          <w:p w14:paraId="5687908A" w14:textId="77777777" w:rsidR="000B3DF0" w:rsidRDefault="00000000">
            <w:pPr>
              <w:spacing w:line="228" w:lineRule="auto"/>
              <w:jc w:val="right"/>
            </w:pPr>
            <w:r>
              <w:rPr>
                <w:b/>
                <w:bCs/>
                <w:sz w:val="17"/>
                <w:szCs w:val="17"/>
              </w:rPr>
              <w:t>2,281.3</w:t>
            </w:r>
          </w:p>
        </w:tc>
        <w:tc>
          <w:tcPr>
            <w:tcW w:w="1900" w:type="dxa"/>
            <w:tcBorders>
              <w:top w:val="single" w:sz="4" w:space="0" w:color="BFBFBF"/>
              <w:left w:val="single" w:sz="4" w:space="0" w:color="BFBFBF"/>
              <w:bottom w:val="single" w:sz="4" w:space="0" w:color="BFBFBF"/>
              <w:right w:val="single" w:sz="4" w:space="0" w:color="BFBFBF"/>
            </w:tcBorders>
            <w:shd w:val="clear" w:color="auto" w:fill="EEF2F8"/>
            <w:tcMar>
              <w:top w:w="20" w:type="dxa"/>
              <w:left w:w="60" w:type="dxa"/>
              <w:bottom w:w="20" w:type="dxa"/>
              <w:right w:w="60" w:type="dxa"/>
            </w:tcMar>
            <w:vAlign w:val="center"/>
          </w:tcPr>
          <w:p w14:paraId="29C0E828" w14:textId="77777777" w:rsidR="000B3DF0" w:rsidRDefault="00000000">
            <w:pPr>
              <w:spacing w:line="228" w:lineRule="auto"/>
              <w:jc w:val="right"/>
            </w:pPr>
            <w:r>
              <w:rPr>
                <w:b/>
                <w:bCs/>
                <w:sz w:val="17"/>
                <w:szCs w:val="17"/>
              </w:rPr>
              <w:t>1,136.1</w:t>
            </w:r>
          </w:p>
        </w:tc>
      </w:tr>
      <w:tr w:rsidR="000B3DF0" w14:paraId="690190EC" w14:textId="77777777">
        <w:tc>
          <w:tcPr>
            <w:tcW w:w="4380" w:type="dxa"/>
            <w:tcBorders>
              <w:top w:val="single" w:sz="4" w:space="0" w:color="BFBFBF"/>
              <w:left w:val="single" w:sz="4" w:space="0" w:color="BFBFBF"/>
              <w:bottom w:val="single" w:sz="4" w:space="0" w:color="BFBFBF"/>
              <w:right w:val="single" w:sz="4" w:space="0" w:color="BFBFBF"/>
            </w:tcBorders>
            <w:tcMar>
              <w:top w:w="20" w:type="dxa"/>
              <w:left w:w="60" w:type="dxa"/>
              <w:bottom w:w="20" w:type="dxa"/>
              <w:right w:w="60" w:type="dxa"/>
            </w:tcMar>
            <w:vAlign w:val="center"/>
          </w:tcPr>
          <w:p w14:paraId="08E14CC4" w14:textId="77777777" w:rsidR="000B3DF0" w:rsidRDefault="00000000">
            <w:pPr>
              <w:spacing w:line="228" w:lineRule="auto"/>
            </w:pPr>
            <w:r>
              <w:rPr>
                <w:b/>
                <w:bCs/>
                <w:sz w:val="17"/>
                <w:szCs w:val="17"/>
              </w:rPr>
              <w:t>Total equity value created (100%)</w:t>
            </w:r>
          </w:p>
        </w:tc>
        <w:tc>
          <w:tcPr>
            <w:tcW w:w="1900" w:type="dxa"/>
            <w:tcBorders>
              <w:top w:val="single" w:sz="4" w:space="0" w:color="BFBFBF"/>
              <w:left w:val="single" w:sz="4" w:space="0" w:color="BFBFBF"/>
              <w:bottom w:val="single" w:sz="4" w:space="0" w:color="BFBFBF"/>
              <w:right w:val="single" w:sz="4" w:space="0" w:color="BFBFBF"/>
            </w:tcBorders>
            <w:tcMar>
              <w:top w:w="20" w:type="dxa"/>
              <w:left w:w="60" w:type="dxa"/>
              <w:bottom w:w="20" w:type="dxa"/>
              <w:right w:w="60" w:type="dxa"/>
            </w:tcMar>
            <w:vAlign w:val="center"/>
          </w:tcPr>
          <w:p w14:paraId="464AA743" w14:textId="77777777" w:rsidR="000B3DF0" w:rsidRDefault="00000000">
            <w:pPr>
              <w:spacing w:line="228" w:lineRule="auto"/>
              <w:jc w:val="right"/>
            </w:pPr>
            <w:r>
              <w:rPr>
                <w:b/>
                <w:bCs/>
                <w:sz w:val="17"/>
                <w:szCs w:val="17"/>
              </w:rPr>
              <w:t>1,025.3</w:t>
            </w:r>
          </w:p>
        </w:tc>
        <w:tc>
          <w:tcPr>
            <w:tcW w:w="1900" w:type="dxa"/>
            <w:tcBorders>
              <w:top w:val="single" w:sz="4" w:space="0" w:color="BFBFBF"/>
              <w:left w:val="single" w:sz="4" w:space="0" w:color="BFBFBF"/>
              <w:bottom w:val="single" w:sz="4" w:space="0" w:color="BFBFBF"/>
              <w:right w:val="single" w:sz="4" w:space="0" w:color="BFBFBF"/>
            </w:tcBorders>
            <w:tcMar>
              <w:top w:w="20" w:type="dxa"/>
              <w:left w:w="60" w:type="dxa"/>
              <w:bottom w:w="20" w:type="dxa"/>
              <w:right w:w="60" w:type="dxa"/>
            </w:tcMar>
            <w:vAlign w:val="center"/>
          </w:tcPr>
          <w:p w14:paraId="38FF87B0" w14:textId="77777777" w:rsidR="000B3DF0" w:rsidRDefault="00000000">
            <w:pPr>
              <w:spacing w:line="228" w:lineRule="auto"/>
              <w:jc w:val="right"/>
            </w:pPr>
            <w:r>
              <w:rPr>
                <w:b/>
                <w:bCs/>
                <w:sz w:val="17"/>
                <w:szCs w:val="17"/>
              </w:rPr>
              <w:t>1,674.1</w:t>
            </w:r>
          </w:p>
        </w:tc>
        <w:tc>
          <w:tcPr>
            <w:tcW w:w="1900" w:type="dxa"/>
            <w:tcBorders>
              <w:top w:val="single" w:sz="4" w:space="0" w:color="BFBFBF"/>
              <w:left w:val="single" w:sz="4" w:space="0" w:color="BFBFBF"/>
              <w:bottom w:val="single" w:sz="4" w:space="0" w:color="BFBFBF"/>
              <w:right w:val="single" w:sz="4" w:space="0" w:color="BFBFBF"/>
            </w:tcBorders>
            <w:tcMar>
              <w:top w:w="20" w:type="dxa"/>
              <w:left w:w="60" w:type="dxa"/>
              <w:bottom w:w="20" w:type="dxa"/>
              <w:right w:w="60" w:type="dxa"/>
            </w:tcMar>
            <w:vAlign w:val="center"/>
          </w:tcPr>
          <w:p w14:paraId="3E053651" w14:textId="77777777" w:rsidR="000B3DF0" w:rsidRDefault="00000000">
            <w:pPr>
              <w:spacing w:line="228" w:lineRule="auto"/>
              <w:jc w:val="right"/>
            </w:pPr>
            <w:r>
              <w:rPr>
                <w:b/>
                <w:bCs/>
                <w:sz w:val="17"/>
                <w:szCs w:val="17"/>
              </w:rPr>
              <w:t>528.9</w:t>
            </w:r>
          </w:p>
        </w:tc>
      </w:tr>
      <w:tr w:rsidR="000B3DF0" w14:paraId="753CFBC2" w14:textId="77777777">
        <w:tc>
          <w:tcPr>
            <w:tcW w:w="4380" w:type="dxa"/>
            <w:tcBorders>
              <w:top w:val="single" w:sz="4" w:space="0" w:color="BFBFBF"/>
              <w:left w:val="single" w:sz="4" w:space="0" w:color="BFBFBF"/>
              <w:bottom w:val="single" w:sz="4" w:space="0" w:color="BFBFBF"/>
              <w:right w:val="single" w:sz="4" w:space="0" w:color="BFBFBF"/>
            </w:tcBorders>
            <w:tcMar>
              <w:top w:w="20" w:type="dxa"/>
              <w:left w:w="60" w:type="dxa"/>
              <w:bottom w:w="20" w:type="dxa"/>
              <w:right w:w="60" w:type="dxa"/>
            </w:tcMar>
            <w:vAlign w:val="center"/>
          </w:tcPr>
          <w:p w14:paraId="7C21A338" w14:textId="77777777" w:rsidR="000B3DF0" w:rsidRDefault="00000000">
            <w:pPr>
              <w:spacing w:line="228" w:lineRule="auto"/>
            </w:pPr>
            <w:r>
              <w:rPr>
                <w:sz w:val="17"/>
                <w:szCs w:val="17"/>
              </w:rPr>
              <w:t xml:space="preserve">  Sponsor share at 94.95% entry ownership</w:t>
            </w:r>
          </w:p>
        </w:tc>
        <w:tc>
          <w:tcPr>
            <w:tcW w:w="1900" w:type="dxa"/>
            <w:tcBorders>
              <w:top w:val="single" w:sz="4" w:space="0" w:color="BFBFBF"/>
              <w:left w:val="single" w:sz="4" w:space="0" w:color="BFBFBF"/>
              <w:bottom w:val="single" w:sz="4" w:space="0" w:color="BFBFBF"/>
              <w:right w:val="single" w:sz="4" w:space="0" w:color="BFBFBF"/>
            </w:tcBorders>
            <w:tcMar>
              <w:top w:w="20" w:type="dxa"/>
              <w:left w:w="60" w:type="dxa"/>
              <w:bottom w:w="20" w:type="dxa"/>
              <w:right w:w="60" w:type="dxa"/>
            </w:tcMar>
            <w:vAlign w:val="center"/>
          </w:tcPr>
          <w:p w14:paraId="317F945B" w14:textId="77777777" w:rsidR="000B3DF0" w:rsidRDefault="00000000">
            <w:pPr>
              <w:spacing w:line="228" w:lineRule="auto"/>
              <w:jc w:val="right"/>
            </w:pPr>
            <w:r>
              <w:rPr>
                <w:sz w:val="17"/>
                <w:szCs w:val="17"/>
              </w:rPr>
              <w:t>973.5</w:t>
            </w:r>
          </w:p>
        </w:tc>
        <w:tc>
          <w:tcPr>
            <w:tcW w:w="1900" w:type="dxa"/>
            <w:tcBorders>
              <w:top w:val="single" w:sz="4" w:space="0" w:color="BFBFBF"/>
              <w:left w:val="single" w:sz="4" w:space="0" w:color="BFBFBF"/>
              <w:bottom w:val="single" w:sz="4" w:space="0" w:color="BFBFBF"/>
              <w:right w:val="single" w:sz="4" w:space="0" w:color="BFBFBF"/>
            </w:tcBorders>
            <w:tcMar>
              <w:top w:w="20" w:type="dxa"/>
              <w:left w:w="60" w:type="dxa"/>
              <w:bottom w:w="20" w:type="dxa"/>
              <w:right w:w="60" w:type="dxa"/>
            </w:tcMar>
            <w:vAlign w:val="center"/>
          </w:tcPr>
          <w:p w14:paraId="066B2806" w14:textId="77777777" w:rsidR="000B3DF0" w:rsidRDefault="00000000">
            <w:pPr>
              <w:spacing w:line="228" w:lineRule="auto"/>
              <w:jc w:val="right"/>
            </w:pPr>
            <w:r>
              <w:rPr>
                <w:sz w:val="17"/>
                <w:szCs w:val="17"/>
              </w:rPr>
              <w:t>1,589.6</w:t>
            </w:r>
          </w:p>
        </w:tc>
        <w:tc>
          <w:tcPr>
            <w:tcW w:w="1900" w:type="dxa"/>
            <w:tcBorders>
              <w:top w:val="single" w:sz="4" w:space="0" w:color="BFBFBF"/>
              <w:left w:val="single" w:sz="4" w:space="0" w:color="BFBFBF"/>
              <w:bottom w:val="single" w:sz="4" w:space="0" w:color="BFBFBF"/>
              <w:right w:val="single" w:sz="4" w:space="0" w:color="BFBFBF"/>
            </w:tcBorders>
            <w:tcMar>
              <w:top w:w="20" w:type="dxa"/>
              <w:left w:w="60" w:type="dxa"/>
              <w:bottom w:w="20" w:type="dxa"/>
              <w:right w:w="60" w:type="dxa"/>
            </w:tcMar>
            <w:vAlign w:val="center"/>
          </w:tcPr>
          <w:p w14:paraId="57EB3429" w14:textId="77777777" w:rsidR="000B3DF0" w:rsidRDefault="00000000">
            <w:pPr>
              <w:spacing w:line="228" w:lineRule="auto"/>
              <w:jc w:val="right"/>
            </w:pPr>
            <w:r>
              <w:rPr>
                <w:sz w:val="17"/>
                <w:szCs w:val="17"/>
              </w:rPr>
              <w:t>502.2</w:t>
            </w:r>
          </w:p>
        </w:tc>
      </w:tr>
      <w:tr w:rsidR="000B3DF0" w14:paraId="6A6F37CD" w14:textId="77777777">
        <w:tc>
          <w:tcPr>
            <w:tcW w:w="4380" w:type="dxa"/>
            <w:tcBorders>
              <w:top w:val="single" w:sz="4" w:space="0" w:color="BFBFBF"/>
              <w:left w:val="single" w:sz="4" w:space="0" w:color="BFBFBF"/>
              <w:bottom w:val="single" w:sz="4" w:space="0" w:color="BFBFBF"/>
              <w:right w:val="single" w:sz="4" w:space="0" w:color="BFBFBF"/>
            </w:tcBorders>
            <w:tcMar>
              <w:top w:w="20" w:type="dxa"/>
              <w:left w:w="60" w:type="dxa"/>
              <w:bottom w:w="20" w:type="dxa"/>
              <w:right w:w="60" w:type="dxa"/>
            </w:tcMar>
            <w:vAlign w:val="center"/>
          </w:tcPr>
          <w:p w14:paraId="3F932CC6" w14:textId="77777777" w:rsidR="000B3DF0" w:rsidRDefault="00000000">
            <w:pPr>
              <w:spacing w:line="228" w:lineRule="auto"/>
            </w:pPr>
            <w:r>
              <w:rPr>
                <w:sz w:val="17"/>
                <w:szCs w:val="17"/>
              </w:rPr>
              <w:t xml:space="preserve">  - Dilution to 90% exit ownership</w:t>
            </w:r>
          </w:p>
        </w:tc>
        <w:tc>
          <w:tcPr>
            <w:tcW w:w="1900" w:type="dxa"/>
            <w:tcBorders>
              <w:top w:val="single" w:sz="4" w:space="0" w:color="BFBFBF"/>
              <w:left w:val="single" w:sz="4" w:space="0" w:color="BFBFBF"/>
              <w:bottom w:val="single" w:sz="4" w:space="0" w:color="BFBFBF"/>
              <w:right w:val="single" w:sz="4" w:space="0" w:color="BFBFBF"/>
            </w:tcBorders>
            <w:tcMar>
              <w:top w:w="20" w:type="dxa"/>
              <w:left w:w="60" w:type="dxa"/>
              <w:bottom w:w="20" w:type="dxa"/>
              <w:right w:w="60" w:type="dxa"/>
            </w:tcMar>
            <w:vAlign w:val="center"/>
          </w:tcPr>
          <w:p w14:paraId="0C2985F8" w14:textId="77777777" w:rsidR="000B3DF0" w:rsidRDefault="00000000">
            <w:pPr>
              <w:spacing w:line="228" w:lineRule="auto"/>
              <w:jc w:val="right"/>
            </w:pPr>
            <w:r>
              <w:rPr>
                <w:sz w:val="17"/>
                <w:szCs w:val="17"/>
              </w:rPr>
              <w:t>(80.8)</w:t>
            </w:r>
          </w:p>
        </w:tc>
        <w:tc>
          <w:tcPr>
            <w:tcW w:w="1900" w:type="dxa"/>
            <w:tcBorders>
              <w:top w:val="single" w:sz="4" w:space="0" w:color="BFBFBF"/>
              <w:left w:val="single" w:sz="4" w:space="0" w:color="BFBFBF"/>
              <w:bottom w:val="single" w:sz="4" w:space="0" w:color="BFBFBF"/>
              <w:right w:val="single" w:sz="4" w:space="0" w:color="BFBFBF"/>
            </w:tcBorders>
            <w:tcMar>
              <w:top w:w="20" w:type="dxa"/>
              <w:left w:w="60" w:type="dxa"/>
              <w:bottom w:w="20" w:type="dxa"/>
              <w:right w:w="60" w:type="dxa"/>
            </w:tcMar>
            <w:vAlign w:val="center"/>
          </w:tcPr>
          <w:p w14:paraId="30052CFF" w14:textId="77777777" w:rsidR="000B3DF0" w:rsidRDefault="00000000">
            <w:pPr>
              <w:spacing w:line="228" w:lineRule="auto"/>
              <w:jc w:val="right"/>
            </w:pPr>
            <w:r>
              <w:rPr>
                <w:sz w:val="17"/>
                <w:szCs w:val="17"/>
              </w:rPr>
              <w:t>(113.0)</w:t>
            </w:r>
          </w:p>
        </w:tc>
        <w:tc>
          <w:tcPr>
            <w:tcW w:w="1900" w:type="dxa"/>
            <w:tcBorders>
              <w:top w:val="single" w:sz="4" w:space="0" w:color="BFBFBF"/>
              <w:left w:val="single" w:sz="4" w:space="0" w:color="BFBFBF"/>
              <w:bottom w:val="single" w:sz="4" w:space="0" w:color="BFBFBF"/>
              <w:right w:val="single" w:sz="4" w:space="0" w:color="BFBFBF"/>
            </w:tcBorders>
            <w:tcMar>
              <w:top w:w="20" w:type="dxa"/>
              <w:left w:w="60" w:type="dxa"/>
              <w:bottom w:w="20" w:type="dxa"/>
              <w:right w:w="60" w:type="dxa"/>
            </w:tcMar>
            <w:vAlign w:val="center"/>
          </w:tcPr>
          <w:p w14:paraId="519C0B6D" w14:textId="77777777" w:rsidR="000B3DF0" w:rsidRDefault="00000000">
            <w:pPr>
              <w:spacing w:line="228" w:lineRule="auto"/>
              <w:jc w:val="right"/>
            </w:pPr>
            <w:r>
              <w:rPr>
                <w:sz w:val="17"/>
                <w:szCs w:val="17"/>
              </w:rPr>
              <w:t>(56.3)</w:t>
            </w:r>
          </w:p>
        </w:tc>
      </w:tr>
      <w:tr w:rsidR="000B3DF0" w14:paraId="6672DDFF" w14:textId="77777777">
        <w:tc>
          <w:tcPr>
            <w:tcW w:w="4380" w:type="dxa"/>
            <w:tcBorders>
              <w:top w:val="single" w:sz="4" w:space="0" w:color="BFBFBF"/>
              <w:left w:val="single" w:sz="4" w:space="0" w:color="BFBFBF"/>
              <w:bottom w:val="single" w:sz="4" w:space="0" w:color="BFBFBF"/>
              <w:right w:val="single" w:sz="4" w:space="0" w:color="BFBFBF"/>
            </w:tcBorders>
            <w:shd w:val="clear" w:color="auto" w:fill="EEF2F8"/>
            <w:tcMar>
              <w:top w:w="20" w:type="dxa"/>
              <w:left w:w="60" w:type="dxa"/>
              <w:bottom w:w="20" w:type="dxa"/>
              <w:right w:w="60" w:type="dxa"/>
            </w:tcMar>
            <w:vAlign w:val="center"/>
          </w:tcPr>
          <w:p w14:paraId="47BCA032" w14:textId="77777777" w:rsidR="000B3DF0" w:rsidRDefault="00000000">
            <w:pPr>
              <w:spacing w:line="228" w:lineRule="auto"/>
            </w:pPr>
            <w:r>
              <w:rPr>
                <w:b/>
                <w:bCs/>
                <w:sz w:val="17"/>
                <w:szCs w:val="17"/>
              </w:rPr>
              <w:t xml:space="preserve">  = Sponsor gain (proceeds less $576.6M invested)</w:t>
            </w:r>
          </w:p>
        </w:tc>
        <w:tc>
          <w:tcPr>
            <w:tcW w:w="1900" w:type="dxa"/>
            <w:tcBorders>
              <w:top w:val="single" w:sz="4" w:space="0" w:color="BFBFBF"/>
              <w:left w:val="single" w:sz="4" w:space="0" w:color="BFBFBF"/>
              <w:bottom w:val="single" w:sz="4" w:space="0" w:color="BFBFBF"/>
              <w:right w:val="single" w:sz="4" w:space="0" w:color="BFBFBF"/>
            </w:tcBorders>
            <w:shd w:val="clear" w:color="auto" w:fill="EEF2F8"/>
            <w:tcMar>
              <w:top w:w="20" w:type="dxa"/>
              <w:left w:w="60" w:type="dxa"/>
              <w:bottom w:w="20" w:type="dxa"/>
              <w:right w:w="60" w:type="dxa"/>
            </w:tcMar>
            <w:vAlign w:val="center"/>
          </w:tcPr>
          <w:p w14:paraId="2A5A6725" w14:textId="77777777" w:rsidR="000B3DF0" w:rsidRDefault="00000000">
            <w:pPr>
              <w:spacing w:line="228" w:lineRule="auto"/>
              <w:jc w:val="right"/>
            </w:pPr>
            <w:r>
              <w:rPr>
                <w:b/>
                <w:bCs/>
                <w:sz w:val="17"/>
                <w:szCs w:val="17"/>
              </w:rPr>
              <w:t>892.7</w:t>
            </w:r>
          </w:p>
        </w:tc>
        <w:tc>
          <w:tcPr>
            <w:tcW w:w="1900" w:type="dxa"/>
            <w:tcBorders>
              <w:top w:val="single" w:sz="4" w:space="0" w:color="BFBFBF"/>
              <w:left w:val="single" w:sz="4" w:space="0" w:color="BFBFBF"/>
              <w:bottom w:val="single" w:sz="4" w:space="0" w:color="BFBFBF"/>
              <w:right w:val="single" w:sz="4" w:space="0" w:color="BFBFBF"/>
            </w:tcBorders>
            <w:shd w:val="clear" w:color="auto" w:fill="EEF2F8"/>
            <w:tcMar>
              <w:top w:w="20" w:type="dxa"/>
              <w:left w:w="60" w:type="dxa"/>
              <w:bottom w:w="20" w:type="dxa"/>
              <w:right w:w="60" w:type="dxa"/>
            </w:tcMar>
            <w:vAlign w:val="center"/>
          </w:tcPr>
          <w:p w14:paraId="6933CD22" w14:textId="77777777" w:rsidR="000B3DF0" w:rsidRDefault="00000000">
            <w:pPr>
              <w:spacing w:line="228" w:lineRule="auto"/>
              <w:jc w:val="right"/>
            </w:pPr>
            <w:r>
              <w:rPr>
                <w:b/>
                <w:bCs/>
                <w:sz w:val="17"/>
                <w:szCs w:val="17"/>
              </w:rPr>
              <w:t>1,476.6</w:t>
            </w:r>
          </w:p>
        </w:tc>
        <w:tc>
          <w:tcPr>
            <w:tcW w:w="1900" w:type="dxa"/>
            <w:tcBorders>
              <w:top w:val="single" w:sz="4" w:space="0" w:color="BFBFBF"/>
              <w:left w:val="single" w:sz="4" w:space="0" w:color="BFBFBF"/>
              <w:bottom w:val="single" w:sz="4" w:space="0" w:color="BFBFBF"/>
              <w:right w:val="single" w:sz="4" w:space="0" w:color="BFBFBF"/>
            </w:tcBorders>
            <w:shd w:val="clear" w:color="auto" w:fill="EEF2F8"/>
            <w:tcMar>
              <w:top w:w="20" w:type="dxa"/>
              <w:left w:w="60" w:type="dxa"/>
              <w:bottom w:w="20" w:type="dxa"/>
              <w:right w:w="60" w:type="dxa"/>
            </w:tcMar>
            <w:vAlign w:val="center"/>
          </w:tcPr>
          <w:p w14:paraId="03517144" w14:textId="77777777" w:rsidR="000B3DF0" w:rsidRDefault="00000000">
            <w:pPr>
              <w:spacing w:line="228" w:lineRule="auto"/>
              <w:jc w:val="right"/>
            </w:pPr>
            <w:r>
              <w:rPr>
                <w:b/>
                <w:bCs/>
                <w:sz w:val="17"/>
                <w:szCs w:val="17"/>
              </w:rPr>
              <w:t>445.9</w:t>
            </w:r>
          </w:p>
        </w:tc>
      </w:tr>
      <w:tr w:rsidR="000B3DF0" w14:paraId="48684ACA" w14:textId="77777777">
        <w:tc>
          <w:tcPr>
            <w:tcW w:w="4380" w:type="dxa"/>
            <w:tcBorders>
              <w:top w:val="single" w:sz="4" w:space="0" w:color="BFBFBF"/>
              <w:left w:val="single" w:sz="4" w:space="0" w:color="BFBFBF"/>
              <w:bottom w:val="single" w:sz="4" w:space="0" w:color="BFBFBF"/>
              <w:right w:val="single" w:sz="4" w:space="0" w:color="BFBFBF"/>
            </w:tcBorders>
            <w:tcMar>
              <w:top w:w="20" w:type="dxa"/>
              <w:left w:w="60" w:type="dxa"/>
              <w:bottom w:w="20" w:type="dxa"/>
              <w:right w:w="60" w:type="dxa"/>
            </w:tcMar>
            <w:vAlign w:val="center"/>
          </w:tcPr>
          <w:p w14:paraId="5FBB647E" w14:textId="77777777" w:rsidR="000B3DF0" w:rsidRDefault="00000000">
            <w:pPr>
              <w:spacing w:line="228" w:lineRule="auto"/>
            </w:pPr>
            <w:r>
              <w:rPr>
                <w:sz w:val="17"/>
                <w:szCs w:val="17"/>
              </w:rPr>
              <w:t>Sponsor MOIC, in turns:  EBITDA growth</w:t>
            </w:r>
          </w:p>
        </w:tc>
        <w:tc>
          <w:tcPr>
            <w:tcW w:w="1900" w:type="dxa"/>
            <w:tcBorders>
              <w:top w:val="single" w:sz="4" w:space="0" w:color="BFBFBF"/>
              <w:left w:val="single" w:sz="4" w:space="0" w:color="BFBFBF"/>
              <w:bottom w:val="single" w:sz="4" w:space="0" w:color="BFBFBF"/>
              <w:right w:val="single" w:sz="4" w:space="0" w:color="BFBFBF"/>
            </w:tcBorders>
            <w:tcMar>
              <w:top w:w="20" w:type="dxa"/>
              <w:left w:w="60" w:type="dxa"/>
              <w:bottom w:w="20" w:type="dxa"/>
              <w:right w:w="60" w:type="dxa"/>
            </w:tcMar>
            <w:vAlign w:val="center"/>
          </w:tcPr>
          <w:p w14:paraId="330B12FC" w14:textId="77777777" w:rsidR="000B3DF0" w:rsidRDefault="00000000">
            <w:pPr>
              <w:spacing w:line="228" w:lineRule="auto"/>
              <w:jc w:val="right"/>
            </w:pPr>
            <w:r>
              <w:rPr>
                <w:sz w:val="17"/>
                <w:szCs w:val="17"/>
              </w:rPr>
              <w:t>1.27x</w:t>
            </w:r>
          </w:p>
        </w:tc>
        <w:tc>
          <w:tcPr>
            <w:tcW w:w="1900" w:type="dxa"/>
            <w:tcBorders>
              <w:top w:val="single" w:sz="4" w:space="0" w:color="BFBFBF"/>
              <w:left w:val="single" w:sz="4" w:space="0" w:color="BFBFBF"/>
              <w:bottom w:val="single" w:sz="4" w:space="0" w:color="BFBFBF"/>
              <w:right w:val="single" w:sz="4" w:space="0" w:color="BFBFBF"/>
            </w:tcBorders>
            <w:tcMar>
              <w:top w:w="20" w:type="dxa"/>
              <w:left w:w="60" w:type="dxa"/>
              <w:bottom w:w="20" w:type="dxa"/>
              <w:right w:w="60" w:type="dxa"/>
            </w:tcMar>
            <w:vAlign w:val="center"/>
          </w:tcPr>
          <w:p w14:paraId="4AE425E3" w14:textId="77777777" w:rsidR="000B3DF0" w:rsidRDefault="00000000">
            <w:pPr>
              <w:spacing w:line="228" w:lineRule="auto"/>
              <w:jc w:val="right"/>
            </w:pPr>
            <w:r>
              <w:rPr>
                <w:sz w:val="17"/>
                <w:szCs w:val="17"/>
              </w:rPr>
              <w:t>1.78x</w:t>
            </w:r>
          </w:p>
        </w:tc>
        <w:tc>
          <w:tcPr>
            <w:tcW w:w="1900" w:type="dxa"/>
            <w:tcBorders>
              <w:top w:val="single" w:sz="4" w:space="0" w:color="BFBFBF"/>
              <w:left w:val="single" w:sz="4" w:space="0" w:color="BFBFBF"/>
              <w:bottom w:val="single" w:sz="4" w:space="0" w:color="BFBFBF"/>
              <w:right w:val="single" w:sz="4" w:space="0" w:color="BFBFBF"/>
            </w:tcBorders>
            <w:tcMar>
              <w:top w:w="20" w:type="dxa"/>
              <w:left w:w="60" w:type="dxa"/>
              <w:bottom w:w="20" w:type="dxa"/>
              <w:right w:w="60" w:type="dxa"/>
            </w:tcMar>
            <w:vAlign w:val="center"/>
          </w:tcPr>
          <w:p w14:paraId="2D8E553A" w14:textId="77777777" w:rsidR="000B3DF0" w:rsidRDefault="00000000">
            <w:pPr>
              <w:spacing w:line="228" w:lineRule="auto"/>
              <w:jc w:val="right"/>
            </w:pPr>
            <w:r>
              <w:rPr>
                <w:sz w:val="17"/>
                <w:szCs w:val="17"/>
              </w:rPr>
              <w:t>0.92x</w:t>
            </w:r>
          </w:p>
        </w:tc>
      </w:tr>
      <w:tr w:rsidR="000B3DF0" w14:paraId="161B32E2" w14:textId="77777777">
        <w:tc>
          <w:tcPr>
            <w:tcW w:w="4380" w:type="dxa"/>
            <w:tcBorders>
              <w:top w:val="single" w:sz="4" w:space="0" w:color="BFBFBF"/>
              <w:left w:val="single" w:sz="4" w:space="0" w:color="BFBFBF"/>
              <w:bottom w:val="single" w:sz="4" w:space="0" w:color="BFBFBF"/>
              <w:right w:val="single" w:sz="4" w:space="0" w:color="BFBFBF"/>
            </w:tcBorders>
            <w:tcMar>
              <w:top w:w="20" w:type="dxa"/>
              <w:left w:w="60" w:type="dxa"/>
              <w:bottom w:w="20" w:type="dxa"/>
              <w:right w:w="60" w:type="dxa"/>
            </w:tcMar>
            <w:vAlign w:val="center"/>
          </w:tcPr>
          <w:p w14:paraId="640A147A" w14:textId="77777777" w:rsidR="000B3DF0" w:rsidRDefault="00000000">
            <w:pPr>
              <w:spacing w:line="228" w:lineRule="auto"/>
            </w:pPr>
            <w:r>
              <w:rPr>
                <w:sz w:val="17"/>
                <w:szCs w:val="17"/>
              </w:rPr>
              <w:t xml:space="preserve">  Multiple expansion</w:t>
            </w:r>
          </w:p>
        </w:tc>
        <w:tc>
          <w:tcPr>
            <w:tcW w:w="1900" w:type="dxa"/>
            <w:tcBorders>
              <w:top w:val="single" w:sz="4" w:space="0" w:color="BFBFBF"/>
              <w:left w:val="single" w:sz="4" w:space="0" w:color="BFBFBF"/>
              <w:bottom w:val="single" w:sz="4" w:space="0" w:color="BFBFBF"/>
              <w:right w:val="single" w:sz="4" w:space="0" w:color="BFBFBF"/>
            </w:tcBorders>
            <w:tcMar>
              <w:top w:w="20" w:type="dxa"/>
              <w:left w:w="60" w:type="dxa"/>
              <w:bottom w:w="20" w:type="dxa"/>
              <w:right w:w="60" w:type="dxa"/>
            </w:tcMar>
            <w:vAlign w:val="center"/>
          </w:tcPr>
          <w:p w14:paraId="71C07824" w14:textId="77777777" w:rsidR="000B3DF0" w:rsidRDefault="00000000">
            <w:pPr>
              <w:spacing w:line="228" w:lineRule="auto"/>
              <w:jc w:val="right"/>
            </w:pPr>
            <w:r>
              <w:rPr>
                <w:sz w:val="17"/>
                <w:szCs w:val="17"/>
              </w:rPr>
              <w:t>0.00x</w:t>
            </w:r>
          </w:p>
        </w:tc>
        <w:tc>
          <w:tcPr>
            <w:tcW w:w="1900" w:type="dxa"/>
            <w:tcBorders>
              <w:top w:val="single" w:sz="4" w:space="0" w:color="BFBFBF"/>
              <w:left w:val="single" w:sz="4" w:space="0" w:color="BFBFBF"/>
              <w:bottom w:val="single" w:sz="4" w:space="0" w:color="BFBFBF"/>
              <w:right w:val="single" w:sz="4" w:space="0" w:color="BFBFBF"/>
            </w:tcBorders>
            <w:tcMar>
              <w:top w:w="20" w:type="dxa"/>
              <w:left w:w="60" w:type="dxa"/>
              <w:bottom w:w="20" w:type="dxa"/>
              <w:right w:w="60" w:type="dxa"/>
            </w:tcMar>
            <w:vAlign w:val="center"/>
          </w:tcPr>
          <w:p w14:paraId="7FCDE586" w14:textId="77777777" w:rsidR="000B3DF0" w:rsidRDefault="00000000">
            <w:pPr>
              <w:spacing w:line="228" w:lineRule="auto"/>
              <w:jc w:val="right"/>
            </w:pPr>
            <w:r>
              <w:rPr>
                <w:sz w:val="17"/>
                <w:szCs w:val="17"/>
              </w:rPr>
              <w:t>0.48x</w:t>
            </w:r>
          </w:p>
        </w:tc>
        <w:tc>
          <w:tcPr>
            <w:tcW w:w="1900" w:type="dxa"/>
            <w:tcBorders>
              <w:top w:val="single" w:sz="4" w:space="0" w:color="BFBFBF"/>
              <w:left w:val="single" w:sz="4" w:space="0" w:color="BFBFBF"/>
              <w:bottom w:val="single" w:sz="4" w:space="0" w:color="BFBFBF"/>
              <w:right w:val="single" w:sz="4" w:space="0" w:color="BFBFBF"/>
            </w:tcBorders>
            <w:tcMar>
              <w:top w:w="20" w:type="dxa"/>
              <w:left w:w="60" w:type="dxa"/>
              <w:bottom w:w="20" w:type="dxa"/>
              <w:right w:w="60" w:type="dxa"/>
            </w:tcMar>
            <w:vAlign w:val="center"/>
          </w:tcPr>
          <w:p w14:paraId="18EB4DFA" w14:textId="77777777" w:rsidR="000B3DF0" w:rsidRDefault="00000000">
            <w:pPr>
              <w:spacing w:line="228" w:lineRule="auto"/>
              <w:jc w:val="right"/>
            </w:pPr>
            <w:r>
              <w:rPr>
                <w:sz w:val="17"/>
                <w:szCs w:val="17"/>
              </w:rPr>
              <w:t>-0.39x</w:t>
            </w:r>
          </w:p>
        </w:tc>
      </w:tr>
      <w:tr w:rsidR="000B3DF0" w14:paraId="5F25CEE7" w14:textId="77777777">
        <w:tc>
          <w:tcPr>
            <w:tcW w:w="4380" w:type="dxa"/>
            <w:tcBorders>
              <w:top w:val="single" w:sz="4" w:space="0" w:color="BFBFBF"/>
              <w:left w:val="single" w:sz="4" w:space="0" w:color="BFBFBF"/>
              <w:bottom w:val="single" w:sz="4" w:space="0" w:color="BFBFBF"/>
              <w:right w:val="single" w:sz="4" w:space="0" w:color="BFBFBF"/>
            </w:tcBorders>
            <w:tcMar>
              <w:top w:w="20" w:type="dxa"/>
              <w:left w:w="60" w:type="dxa"/>
              <w:bottom w:w="20" w:type="dxa"/>
              <w:right w:w="60" w:type="dxa"/>
            </w:tcMar>
            <w:vAlign w:val="center"/>
          </w:tcPr>
          <w:p w14:paraId="2C7BD162" w14:textId="77777777" w:rsidR="000B3DF0" w:rsidRDefault="00000000">
            <w:pPr>
              <w:spacing w:line="228" w:lineRule="auto"/>
            </w:pPr>
            <w:r>
              <w:rPr>
                <w:sz w:val="17"/>
                <w:szCs w:val="17"/>
              </w:rPr>
              <w:t xml:space="preserve">  Debt paydown</w:t>
            </w:r>
          </w:p>
        </w:tc>
        <w:tc>
          <w:tcPr>
            <w:tcW w:w="1900" w:type="dxa"/>
            <w:tcBorders>
              <w:top w:val="single" w:sz="4" w:space="0" w:color="BFBFBF"/>
              <w:left w:val="single" w:sz="4" w:space="0" w:color="BFBFBF"/>
              <w:bottom w:val="single" w:sz="4" w:space="0" w:color="BFBFBF"/>
              <w:right w:val="single" w:sz="4" w:space="0" w:color="BFBFBF"/>
            </w:tcBorders>
            <w:tcMar>
              <w:top w:w="20" w:type="dxa"/>
              <w:left w:w="60" w:type="dxa"/>
              <w:bottom w:w="20" w:type="dxa"/>
              <w:right w:w="60" w:type="dxa"/>
            </w:tcMar>
            <w:vAlign w:val="center"/>
          </w:tcPr>
          <w:p w14:paraId="251C68CE" w14:textId="77777777" w:rsidR="000B3DF0" w:rsidRDefault="00000000">
            <w:pPr>
              <w:spacing w:line="228" w:lineRule="auto"/>
              <w:jc w:val="right"/>
            </w:pPr>
            <w:r>
              <w:rPr>
                <w:sz w:val="17"/>
                <w:szCs w:val="17"/>
              </w:rPr>
              <w:t>0.57x</w:t>
            </w:r>
          </w:p>
        </w:tc>
        <w:tc>
          <w:tcPr>
            <w:tcW w:w="1900" w:type="dxa"/>
            <w:tcBorders>
              <w:top w:val="single" w:sz="4" w:space="0" w:color="BFBFBF"/>
              <w:left w:val="single" w:sz="4" w:space="0" w:color="BFBFBF"/>
              <w:bottom w:val="single" w:sz="4" w:space="0" w:color="BFBFBF"/>
              <w:right w:val="single" w:sz="4" w:space="0" w:color="BFBFBF"/>
            </w:tcBorders>
            <w:tcMar>
              <w:top w:w="20" w:type="dxa"/>
              <w:left w:w="60" w:type="dxa"/>
              <w:bottom w:w="20" w:type="dxa"/>
              <w:right w:w="60" w:type="dxa"/>
            </w:tcMar>
            <w:vAlign w:val="center"/>
          </w:tcPr>
          <w:p w14:paraId="4DED7642" w14:textId="77777777" w:rsidR="000B3DF0" w:rsidRDefault="00000000">
            <w:pPr>
              <w:spacing w:line="228" w:lineRule="auto"/>
              <w:jc w:val="right"/>
            </w:pPr>
            <w:r>
              <w:rPr>
                <w:sz w:val="17"/>
                <w:szCs w:val="17"/>
              </w:rPr>
              <w:t>0.67x</w:t>
            </w:r>
          </w:p>
        </w:tc>
        <w:tc>
          <w:tcPr>
            <w:tcW w:w="1900" w:type="dxa"/>
            <w:tcBorders>
              <w:top w:val="single" w:sz="4" w:space="0" w:color="BFBFBF"/>
              <w:left w:val="single" w:sz="4" w:space="0" w:color="BFBFBF"/>
              <w:bottom w:val="single" w:sz="4" w:space="0" w:color="BFBFBF"/>
              <w:right w:val="single" w:sz="4" w:space="0" w:color="BFBFBF"/>
            </w:tcBorders>
            <w:tcMar>
              <w:top w:w="20" w:type="dxa"/>
              <w:left w:w="60" w:type="dxa"/>
              <w:bottom w:w="20" w:type="dxa"/>
              <w:right w:w="60" w:type="dxa"/>
            </w:tcMar>
            <w:vAlign w:val="center"/>
          </w:tcPr>
          <w:p w14:paraId="29DEB07F" w14:textId="77777777" w:rsidR="000B3DF0" w:rsidRDefault="00000000">
            <w:pPr>
              <w:spacing w:line="228" w:lineRule="auto"/>
              <w:jc w:val="right"/>
            </w:pPr>
            <w:r>
              <w:rPr>
                <w:sz w:val="17"/>
                <w:szCs w:val="17"/>
              </w:rPr>
              <w:t>0.47x</w:t>
            </w:r>
          </w:p>
        </w:tc>
      </w:tr>
      <w:tr w:rsidR="000B3DF0" w14:paraId="531E3A6F" w14:textId="77777777">
        <w:tc>
          <w:tcPr>
            <w:tcW w:w="4380" w:type="dxa"/>
            <w:tcBorders>
              <w:top w:val="single" w:sz="4" w:space="0" w:color="BFBFBF"/>
              <w:left w:val="single" w:sz="4" w:space="0" w:color="BFBFBF"/>
              <w:bottom w:val="single" w:sz="4" w:space="0" w:color="BFBFBF"/>
              <w:right w:val="single" w:sz="4" w:space="0" w:color="BFBFBF"/>
            </w:tcBorders>
            <w:tcMar>
              <w:top w:w="20" w:type="dxa"/>
              <w:left w:w="60" w:type="dxa"/>
              <w:bottom w:w="20" w:type="dxa"/>
              <w:right w:w="60" w:type="dxa"/>
            </w:tcMar>
            <w:vAlign w:val="center"/>
          </w:tcPr>
          <w:p w14:paraId="487F5ACB" w14:textId="77777777" w:rsidR="000B3DF0" w:rsidRDefault="00000000">
            <w:pPr>
              <w:spacing w:line="228" w:lineRule="auto"/>
            </w:pPr>
            <w:r>
              <w:rPr>
                <w:sz w:val="17"/>
                <w:szCs w:val="17"/>
              </w:rPr>
              <w:t xml:space="preserve">  Fees and dilution</w:t>
            </w:r>
          </w:p>
        </w:tc>
        <w:tc>
          <w:tcPr>
            <w:tcW w:w="1900" w:type="dxa"/>
            <w:tcBorders>
              <w:top w:val="single" w:sz="4" w:space="0" w:color="BFBFBF"/>
              <w:left w:val="single" w:sz="4" w:space="0" w:color="BFBFBF"/>
              <w:bottom w:val="single" w:sz="4" w:space="0" w:color="BFBFBF"/>
              <w:right w:val="single" w:sz="4" w:space="0" w:color="BFBFBF"/>
            </w:tcBorders>
            <w:tcMar>
              <w:top w:w="20" w:type="dxa"/>
              <w:left w:w="60" w:type="dxa"/>
              <w:bottom w:w="20" w:type="dxa"/>
              <w:right w:w="60" w:type="dxa"/>
            </w:tcMar>
            <w:vAlign w:val="center"/>
          </w:tcPr>
          <w:p w14:paraId="58CB06A5" w14:textId="77777777" w:rsidR="000B3DF0" w:rsidRDefault="00000000">
            <w:pPr>
              <w:spacing w:line="228" w:lineRule="auto"/>
              <w:jc w:val="right"/>
            </w:pPr>
            <w:r>
              <w:rPr>
                <w:sz w:val="17"/>
                <w:szCs w:val="17"/>
              </w:rPr>
              <w:t>-0.29x</w:t>
            </w:r>
          </w:p>
        </w:tc>
        <w:tc>
          <w:tcPr>
            <w:tcW w:w="1900" w:type="dxa"/>
            <w:tcBorders>
              <w:top w:val="single" w:sz="4" w:space="0" w:color="BFBFBF"/>
              <w:left w:val="single" w:sz="4" w:space="0" w:color="BFBFBF"/>
              <w:bottom w:val="single" w:sz="4" w:space="0" w:color="BFBFBF"/>
              <w:right w:val="single" w:sz="4" w:space="0" w:color="BFBFBF"/>
            </w:tcBorders>
            <w:tcMar>
              <w:top w:w="20" w:type="dxa"/>
              <w:left w:w="60" w:type="dxa"/>
              <w:bottom w:w="20" w:type="dxa"/>
              <w:right w:w="60" w:type="dxa"/>
            </w:tcMar>
            <w:vAlign w:val="center"/>
          </w:tcPr>
          <w:p w14:paraId="7FCACD2A" w14:textId="77777777" w:rsidR="000B3DF0" w:rsidRDefault="00000000">
            <w:pPr>
              <w:spacing w:line="228" w:lineRule="auto"/>
              <w:jc w:val="right"/>
            </w:pPr>
            <w:r>
              <w:rPr>
                <w:sz w:val="17"/>
                <w:szCs w:val="17"/>
              </w:rPr>
              <w:t>-0.37x</w:t>
            </w:r>
          </w:p>
        </w:tc>
        <w:tc>
          <w:tcPr>
            <w:tcW w:w="1900" w:type="dxa"/>
            <w:tcBorders>
              <w:top w:val="single" w:sz="4" w:space="0" w:color="BFBFBF"/>
              <w:left w:val="single" w:sz="4" w:space="0" w:color="BFBFBF"/>
              <w:bottom w:val="single" w:sz="4" w:space="0" w:color="BFBFBF"/>
              <w:right w:val="single" w:sz="4" w:space="0" w:color="BFBFBF"/>
            </w:tcBorders>
            <w:tcMar>
              <w:top w:w="20" w:type="dxa"/>
              <w:left w:w="60" w:type="dxa"/>
              <w:bottom w:w="20" w:type="dxa"/>
              <w:right w:w="60" w:type="dxa"/>
            </w:tcMar>
            <w:vAlign w:val="center"/>
          </w:tcPr>
          <w:p w14:paraId="222DD3AC" w14:textId="77777777" w:rsidR="000B3DF0" w:rsidRDefault="00000000">
            <w:pPr>
              <w:spacing w:line="228" w:lineRule="auto"/>
              <w:jc w:val="right"/>
            </w:pPr>
            <w:r>
              <w:rPr>
                <w:sz w:val="17"/>
                <w:szCs w:val="17"/>
              </w:rPr>
              <w:t>-0.22x</w:t>
            </w:r>
          </w:p>
        </w:tc>
      </w:tr>
      <w:tr w:rsidR="000B3DF0" w14:paraId="7579FCEF" w14:textId="77777777">
        <w:tc>
          <w:tcPr>
            <w:tcW w:w="4380" w:type="dxa"/>
            <w:tcBorders>
              <w:top w:val="single" w:sz="4" w:space="0" w:color="BFBFBF"/>
              <w:left w:val="single" w:sz="4" w:space="0" w:color="BFBFBF"/>
              <w:bottom w:val="single" w:sz="4" w:space="0" w:color="BFBFBF"/>
              <w:right w:val="single" w:sz="4" w:space="0" w:color="BFBFBF"/>
            </w:tcBorders>
            <w:tcMar>
              <w:top w:w="20" w:type="dxa"/>
              <w:left w:w="60" w:type="dxa"/>
              <w:bottom w:w="20" w:type="dxa"/>
              <w:right w:w="60" w:type="dxa"/>
            </w:tcMar>
            <w:vAlign w:val="center"/>
          </w:tcPr>
          <w:p w14:paraId="49B4A311" w14:textId="77777777" w:rsidR="000B3DF0" w:rsidRDefault="00000000">
            <w:pPr>
              <w:spacing w:line="228" w:lineRule="auto"/>
            </w:pPr>
            <w:r>
              <w:rPr>
                <w:sz w:val="17"/>
                <w:szCs w:val="17"/>
              </w:rPr>
              <w:t xml:space="preserve">  Return of capital</w:t>
            </w:r>
          </w:p>
        </w:tc>
        <w:tc>
          <w:tcPr>
            <w:tcW w:w="1900" w:type="dxa"/>
            <w:tcBorders>
              <w:top w:val="single" w:sz="4" w:space="0" w:color="BFBFBF"/>
              <w:left w:val="single" w:sz="4" w:space="0" w:color="BFBFBF"/>
              <w:bottom w:val="single" w:sz="4" w:space="0" w:color="BFBFBF"/>
              <w:right w:val="single" w:sz="4" w:space="0" w:color="BFBFBF"/>
            </w:tcBorders>
            <w:tcMar>
              <w:top w:w="20" w:type="dxa"/>
              <w:left w:w="60" w:type="dxa"/>
              <w:bottom w:w="20" w:type="dxa"/>
              <w:right w:w="60" w:type="dxa"/>
            </w:tcMar>
            <w:vAlign w:val="center"/>
          </w:tcPr>
          <w:p w14:paraId="31E0AED9" w14:textId="77777777" w:rsidR="000B3DF0" w:rsidRDefault="00000000">
            <w:pPr>
              <w:spacing w:line="228" w:lineRule="auto"/>
              <w:jc w:val="right"/>
            </w:pPr>
            <w:r>
              <w:rPr>
                <w:sz w:val="17"/>
                <w:szCs w:val="17"/>
              </w:rPr>
              <w:t>1.00x</w:t>
            </w:r>
          </w:p>
        </w:tc>
        <w:tc>
          <w:tcPr>
            <w:tcW w:w="1900" w:type="dxa"/>
            <w:tcBorders>
              <w:top w:val="single" w:sz="4" w:space="0" w:color="BFBFBF"/>
              <w:left w:val="single" w:sz="4" w:space="0" w:color="BFBFBF"/>
              <w:bottom w:val="single" w:sz="4" w:space="0" w:color="BFBFBF"/>
              <w:right w:val="single" w:sz="4" w:space="0" w:color="BFBFBF"/>
            </w:tcBorders>
            <w:tcMar>
              <w:top w:w="20" w:type="dxa"/>
              <w:left w:w="60" w:type="dxa"/>
              <w:bottom w:w="20" w:type="dxa"/>
              <w:right w:w="60" w:type="dxa"/>
            </w:tcMar>
            <w:vAlign w:val="center"/>
          </w:tcPr>
          <w:p w14:paraId="13A09559" w14:textId="77777777" w:rsidR="000B3DF0" w:rsidRDefault="00000000">
            <w:pPr>
              <w:spacing w:line="228" w:lineRule="auto"/>
              <w:jc w:val="right"/>
            </w:pPr>
            <w:r>
              <w:rPr>
                <w:sz w:val="17"/>
                <w:szCs w:val="17"/>
              </w:rPr>
              <w:t>1.00x</w:t>
            </w:r>
          </w:p>
        </w:tc>
        <w:tc>
          <w:tcPr>
            <w:tcW w:w="1900" w:type="dxa"/>
            <w:tcBorders>
              <w:top w:val="single" w:sz="4" w:space="0" w:color="BFBFBF"/>
              <w:left w:val="single" w:sz="4" w:space="0" w:color="BFBFBF"/>
              <w:bottom w:val="single" w:sz="4" w:space="0" w:color="BFBFBF"/>
              <w:right w:val="single" w:sz="4" w:space="0" w:color="BFBFBF"/>
            </w:tcBorders>
            <w:tcMar>
              <w:top w:w="20" w:type="dxa"/>
              <w:left w:w="60" w:type="dxa"/>
              <w:bottom w:w="20" w:type="dxa"/>
              <w:right w:w="60" w:type="dxa"/>
            </w:tcMar>
            <w:vAlign w:val="center"/>
          </w:tcPr>
          <w:p w14:paraId="128E3AFF" w14:textId="77777777" w:rsidR="000B3DF0" w:rsidRDefault="00000000">
            <w:pPr>
              <w:spacing w:line="228" w:lineRule="auto"/>
              <w:jc w:val="right"/>
            </w:pPr>
            <w:r>
              <w:rPr>
                <w:sz w:val="17"/>
                <w:szCs w:val="17"/>
              </w:rPr>
              <w:t>1.00x</w:t>
            </w:r>
          </w:p>
        </w:tc>
      </w:tr>
      <w:tr w:rsidR="000B3DF0" w14:paraId="0CD6D808" w14:textId="77777777">
        <w:tc>
          <w:tcPr>
            <w:tcW w:w="4380" w:type="dxa"/>
            <w:tcBorders>
              <w:top w:val="single" w:sz="4" w:space="0" w:color="BFBFBF"/>
              <w:left w:val="single" w:sz="4" w:space="0" w:color="BFBFBF"/>
              <w:bottom w:val="single" w:sz="4" w:space="0" w:color="BFBFBF"/>
              <w:right w:val="single" w:sz="4" w:space="0" w:color="BFBFBF"/>
            </w:tcBorders>
            <w:shd w:val="clear" w:color="auto" w:fill="EEF2F8"/>
            <w:tcMar>
              <w:top w:w="20" w:type="dxa"/>
              <w:left w:w="60" w:type="dxa"/>
              <w:bottom w:w="20" w:type="dxa"/>
              <w:right w:w="60" w:type="dxa"/>
            </w:tcMar>
            <w:vAlign w:val="center"/>
          </w:tcPr>
          <w:p w14:paraId="63E954C8" w14:textId="77777777" w:rsidR="000B3DF0" w:rsidRDefault="00000000">
            <w:pPr>
              <w:spacing w:line="228" w:lineRule="auto"/>
            </w:pPr>
            <w:r>
              <w:rPr>
                <w:b/>
                <w:bCs/>
                <w:sz w:val="17"/>
                <w:szCs w:val="17"/>
              </w:rPr>
              <w:t xml:space="preserve">  = MOIC</w:t>
            </w:r>
          </w:p>
        </w:tc>
        <w:tc>
          <w:tcPr>
            <w:tcW w:w="1900" w:type="dxa"/>
            <w:tcBorders>
              <w:top w:val="single" w:sz="4" w:space="0" w:color="BFBFBF"/>
              <w:left w:val="single" w:sz="4" w:space="0" w:color="BFBFBF"/>
              <w:bottom w:val="single" w:sz="4" w:space="0" w:color="BFBFBF"/>
              <w:right w:val="single" w:sz="4" w:space="0" w:color="BFBFBF"/>
            </w:tcBorders>
            <w:shd w:val="clear" w:color="auto" w:fill="EEF2F8"/>
            <w:tcMar>
              <w:top w:w="20" w:type="dxa"/>
              <w:left w:w="60" w:type="dxa"/>
              <w:bottom w:w="20" w:type="dxa"/>
              <w:right w:w="60" w:type="dxa"/>
            </w:tcMar>
            <w:vAlign w:val="center"/>
          </w:tcPr>
          <w:p w14:paraId="09667585" w14:textId="77777777" w:rsidR="000B3DF0" w:rsidRDefault="00000000">
            <w:pPr>
              <w:spacing w:line="228" w:lineRule="auto"/>
              <w:jc w:val="right"/>
            </w:pPr>
            <w:r>
              <w:rPr>
                <w:b/>
                <w:bCs/>
                <w:sz w:val="17"/>
                <w:szCs w:val="17"/>
              </w:rPr>
              <w:t>2.55x</w:t>
            </w:r>
          </w:p>
        </w:tc>
        <w:tc>
          <w:tcPr>
            <w:tcW w:w="1900" w:type="dxa"/>
            <w:tcBorders>
              <w:top w:val="single" w:sz="4" w:space="0" w:color="BFBFBF"/>
              <w:left w:val="single" w:sz="4" w:space="0" w:color="BFBFBF"/>
              <w:bottom w:val="single" w:sz="4" w:space="0" w:color="BFBFBF"/>
              <w:right w:val="single" w:sz="4" w:space="0" w:color="BFBFBF"/>
            </w:tcBorders>
            <w:shd w:val="clear" w:color="auto" w:fill="EEF2F8"/>
            <w:tcMar>
              <w:top w:w="20" w:type="dxa"/>
              <w:left w:w="60" w:type="dxa"/>
              <w:bottom w:w="20" w:type="dxa"/>
              <w:right w:w="60" w:type="dxa"/>
            </w:tcMar>
            <w:vAlign w:val="center"/>
          </w:tcPr>
          <w:p w14:paraId="3AB72245" w14:textId="77777777" w:rsidR="000B3DF0" w:rsidRDefault="00000000">
            <w:pPr>
              <w:spacing w:line="228" w:lineRule="auto"/>
              <w:jc w:val="right"/>
            </w:pPr>
            <w:r>
              <w:rPr>
                <w:b/>
                <w:bCs/>
                <w:sz w:val="17"/>
                <w:szCs w:val="17"/>
              </w:rPr>
              <w:t>3.56x</w:t>
            </w:r>
          </w:p>
        </w:tc>
        <w:tc>
          <w:tcPr>
            <w:tcW w:w="1900" w:type="dxa"/>
            <w:tcBorders>
              <w:top w:val="single" w:sz="4" w:space="0" w:color="BFBFBF"/>
              <w:left w:val="single" w:sz="4" w:space="0" w:color="BFBFBF"/>
              <w:bottom w:val="single" w:sz="4" w:space="0" w:color="BFBFBF"/>
              <w:right w:val="single" w:sz="4" w:space="0" w:color="BFBFBF"/>
            </w:tcBorders>
            <w:shd w:val="clear" w:color="auto" w:fill="EEF2F8"/>
            <w:tcMar>
              <w:top w:w="20" w:type="dxa"/>
              <w:left w:w="60" w:type="dxa"/>
              <w:bottom w:w="20" w:type="dxa"/>
              <w:right w:w="60" w:type="dxa"/>
            </w:tcMar>
            <w:vAlign w:val="center"/>
          </w:tcPr>
          <w:p w14:paraId="1EAA7853" w14:textId="77777777" w:rsidR="000B3DF0" w:rsidRDefault="00000000">
            <w:pPr>
              <w:spacing w:line="228" w:lineRule="auto"/>
              <w:jc w:val="right"/>
            </w:pPr>
            <w:r>
              <w:rPr>
                <w:b/>
                <w:bCs/>
                <w:sz w:val="17"/>
                <w:szCs w:val="17"/>
              </w:rPr>
              <w:t>1.77x</w:t>
            </w:r>
          </w:p>
        </w:tc>
      </w:tr>
    </w:tbl>
    <w:p w14:paraId="57517FD8" w14:textId="01AF07DA" w:rsidR="000B3DF0" w:rsidRDefault="00000000">
      <w:pPr>
        <w:keepNext/>
        <w:pBdr>
          <w:bottom w:val="single" w:sz="6" w:space="1" w:color="1F3864"/>
        </w:pBdr>
        <w:spacing w:before="140" w:after="60"/>
      </w:pPr>
      <w:r>
        <w:rPr>
          <w:b/>
          <w:bCs/>
          <w:color w:val="1F3864"/>
          <w:sz w:val="24"/>
          <w:szCs w:val="24"/>
        </w:rPr>
        <w:t xml:space="preserve">5. Sensitivity </w:t>
      </w:r>
      <w:r w:rsidR="0014319D">
        <w:rPr>
          <w:b/>
          <w:bCs/>
          <w:color w:val="1F3864"/>
          <w:sz w:val="24"/>
          <w:szCs w:val="24"/>
        </w:rPr>
        <w:t>T</w:t>
      </w:r>
      <w:r>
        <w:rPr>
          <w:b/>
          <w:bCs/>
          <w:color w:val="1F3864"/>
          <w:sz w:val="24"/>
          <w:szCs w:val="24"/>
        </w:rPr>
        <w:t>ables</w:t>
      </w:r>
    </w:p>
    <w:p w14:paraId="66F5EE6A" w14:textId="03C83948" w:rsidR="0014319D" w:rsidRDefault="0014319D">
      <w:pPr>
        <w:keepNext/>
        <w:spacing w:after="40" w:line="252" w:lineRule="auto"/>
      </w:pPr>
      <w:r>
        <w:t>One turn of exit multiple moves IRR by roughly 3 to 4 points in Base (17.4% at 7.9x) and Bear (8.3% at one turn below its 7.63x). Paying one turn more at entry costs about 4.5 points in Base (16.1%). Bear is the fragile case: it sits at the floor, and an early 2017 exit at its multiple returns 7.4%, because debt paydown has not yet built. Bull stays at about 23% even two turns below its 10.1x exit multiple (23.0%).</w:t>
      </w:r>
    </w:p>
    <w:p w14:paraId="41069CB4" w14:textId="77777777" w:rsidR="0014319D" w:rsidRDefault="0014319D">
      <w:pPr>
        <w:keepNext/>
        <w:spacing w:after="40" w:line="252" w:lineRule="auto"/>
        <w:rPr>
          <w:sz w:val="20"/>
          <w:szCs w:val="20"/>
        </w:rPr>
      </w:pPr>
    </w:p>
    <w:p w14:paraId="2F2C640E" w14:textId="32E3C47E" w:rsidR="0014319D" w:rsidRPr="0014319D" w:rsidRDefault="00000000">
      <w:pPr>
        <w:keepNext/>
        <w:spacing w:after="40" w:line="252" w:lineRule="auto"/>
        <w:rPr>
          <w:i/>
          <w:iCs/>
          <w:sz w:val="20"/>
          <w:szCs w:val="20"/>
        </w:rPr>
      </w:pPr>
      <w:r w:rsidRPr="0014319D">
        <w:rPr>
          <w:i/>
          <w:iCs/>
          <w:sz w:val="20"/>
          <w:szCs w:val="20"/>
        </w:rPr>
        <w:t xml:space="preserve">Sponsor IRR (MOIC) by entry multiple (down) and exit multiple (across), 5-year hold. </w:t>
      </w:r>
    </w:p>
    <w:p w14:paraId="6CA26A97" w14:textId="4CDC46B1" w:rsidR="000B3DF0" w:rsidRPr="0014319D" w:rsidRDefault="0014319D">
      <w:pPr>
        <w:keepNext/>
        <w:spacing w:after="40" w:line="252" w:lineRule="auto"/>
        <w:rPr>
          <w:i/>
          <w:iCs/>
        </w:rPr>
      </w:pPr>
      <w:r w:rsidRPr="0014319D">
        <w:rPr>
          <w:b/>
          <w:bCs/>
          <w:i/>
          <w:iCs/>
          <w:sz w:val="20"/>
          <w:szCs w:val="20"/>
        </w:rPr>
        <w:t xml:space="preserve">Key: </w:t>
      </w:r>
      <w:r w:rsidR="00000000" w:rsidRPr="0014319D">
        <w:rPr>
          <w:i/>
          <w:iCs/>
          <w:sz w:val="20"/>
          <w:szCs w:val="20"/>
        </w:rPr>
        <w:t xml:space="preserve">Green: IRR at or above 20%; </w:t>
      </w:r>
      <w:r w:rsidRPr="0014319D">
        <w:rPr>
          <w:i/>
          <w:iCs/>
          <w:sz w:val="20"/>
          <w:szCs w:val="20"/>
        </w:rPr>
        <w:t>R</w:t>
      </w:r>
      <w:r w:rsidR="00000000" w:rsidRPr="0014319D">
        <w:rPr>
          <w:i/>
          <w:iCs/>
          <w:sz w:val="20"/>
          <w:szCs w:val="20"/>
        </w:rPr>
        <w:t>ed: below 12%</w:t>
      </w:r>
      <w:r w:rsidRPr="0014319D">
        <w:rPr>
          <w:i/>
          <w:iCs/>
          <w:sz w:val="20"/>
          <w:szCs w:val="20"/>
        </w:rPr>
        <w:t xml:space="preserve">. </w:t>
      </w:r>
      <w:r w:rsidR="00000000" w:rsidRPr="0014319D">
        <w:rPr>
          <w:i/>
          <w:iCs/>
          <w:sz w:val="20"/>
          <w:szCs w:val="20"/>
        </w:rPr>
        <w:t>Bold cell = case as modeled.</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80"/>
        <w:gridCol w:w="1780"/>
        <w:gridCol w:w="1780"/>
        <w:gridCol w:w="1780"/>
        <w:gridCol w:w="1780"/>
        <w:gridCol w:w="1780"/>
      </w:tblGrid>
      <w:tr w:rsidR="000B3DF0" w14:paraId="0D395E04" w14:textId="77777777">
        <w:tc>
          <w:tcPr>
            <w:tcW w:w="1180" w:type="dxa"/>
            <w:tcBorders>
              <w:top w:val="single" w:sz="4" w:space="0" w:color="BFBFBF"/>
              <w:left w:val="single" w:sz="4" w:space="0" w:color="BFBFBF"/>
              <w:bottom w:val="single" w:sz="4" w:space="0" w:color="BFBFBF"/>
              <w:right w:val="single" w:sz="4" w:space="0" w:color="BFBFBF"/>
            </w:tcBorders>
            <w:shd w:val="clear" w:color="auto" w:fill="1F3864"/>
            <w:tcMar>
              <w:top w:w="20" w:type="dxa"/>
              <w:left w:w="60" w:type="dxa"/>
              <w:bottom w:w="20" w:type="dxa"/>
              <w:right w:w="60" w:type="dxa"/>
            </w:tcMar>
            <w:vAlign w:val="center"/>
          </w:tcPr>
          <w:p w14:paraId="2DE01CFD" w14:textId="77777777" w:rsidR="000B3DF0" w:rsidRDefault="00000000">
            <w:pPr>
              <w:keepNext/>
              <w:spacing w:line="228" w:lineRule="auto"/>
            </w:pPr>
            <w:r>
              <w:rPr>
                <w:b/>
                <w:bCs/>
                <w:color w:val="FFFFFF"/>
                <w:sz w:val="16"/>
                <w:szCs w:val="16"/>
              </w:rPr>
              <w:t>Base case</w:t>
            </w:r>
          </w:p>
        </w:tc>
        <w:tc>
          <w:tcPr>
            <w:tcW w:w="1780" w:type="dxa"/>
            <w:tcBorders>
              <w:top w:val="single" w:sz="4" w:space="0" w:color="BFBFBF"/>
              <w:left w:val="single" w:sz="4" w:space="0" w:color="BFBFBF"/>
              <w:bottom w:val="single" w:sz="4" w:space="0" w:color="BFBFBF"/>
              <w:right w:val="single" w:sz="4" w:space="0" w:color="BFBFBF"/>
            </w:tcBorders>
            <w:shd w:val="clear" w:color="auto" w:fill="1F3864"/>
            <w:tcMar>
              <w:top w:w="20" w:type="dxa"/>
              <w:left w:w="60" w:type="dxa"/>
              <w:bottom w:w="20" w:type="dxa"/>
              <w:right w:w="60" w:type="dxa"/>
            </w:tcMar>
            <w:vAlign w:val="center"/>
          </w:tcPr>
          <w:p w14:paraId="09C4F2C0" w14:textId="77777777" w:rsidR="000B3DF0" w:rsidRDefault="00000000">
            <w:pPr>
              <w:keepNext/>
              <w:spacing w:line="228" w:lineRule="auto"/>
              <w:jc w:val="center"/>
            </w:pPr>
            <w:r>
              <w:rPr>
                <w:b/>
                <w:bCs/>
                <w:color w:val="FFFFFF"/>
                <w:sz w:val="17"/>
                <w:szCs w:val="17"/>
              </w:rPr>
              <w:t>6.90x</w:t>
            </w:r>
          </w:p>
        </w:tc>
        <w:tc>
          <w:tcPr>
            <w:tcW w:w="1780" w:type="dxa"/>
            <w:tcBorders>
              <w:top w:val="single" w:sz="4" w:space="0" w:color="BFBFBF"/>
              <w:left w:val="single" w:sz="4" w:space="0" w:color="BFBFBF"/>
              <w:bottom w:val="single" w:sz="4" w:space="0" w:color="BFBFBF"/>
              <w:right w:val="single" w:sz="4" w:space="0" w:color="BFBFBF"/>
            </w:tcBorders>
            <w:shd w:val="clear" w:color="auto" w:fill="1F3864"/>
            <w:tcMar>
              <w:top w:w="20" w:type="dxa"/>
              <w:left w:w="60" w:type="dxa"/>
              <w:bottom w:w="20" w:type="dxa"/>
              <w:right w:w="60" w:type="dxa"/>
            </w:tcMar>
            <w:vAlign w:val="center"/>
          </w:tcPr>
          <w:p w14:paraId="63A1653F" w14:textId="77777777" w:rsidR="000B3DF0" w:rsidRDefault="00000000">
            <w:pPr>
              <w:keepNext/>
              <w:spacing w:line="228" w:lineRule="auto"/>
              <w:jc w:val="center"/>
            </w:pPr>
            <w:r>
              <w:rPr>
                <w:b/>
                <w:bCs/>
                <w:color w:val="FFFFFF"/>
                <w:sz w:val="17"/>
                <w:szCs w:val="17"/>
              </w:rPr>
              <w:t>7.90x</w:t>
            </w:r>
          </w:p>
        </w:tc>
        <w:tc>
          <w:tcPr>
            <w:tcW w:w="1780" w:type="dxa"/>
            <w:tcBorders>
              <w:top w:val="single" w:sz="4" w:space="0" w:color="BFBFBF"/>
              <w:left w:val="single" w:sz="4" w:space="0" w:color="BFBFBF"/>
              <w:bottom w:val="single" w:sz="4" w:space="0" w:color="BFBFBF"/>
              <w:right w:val="single" w:sz="4" w:space="0" w:color="BFBFBF"/>
            </w:tcBorders>
            <w:shd w:val="clear" w:color="auto" w:fill="1F3864"/>
            <w:tcMar>
              <w:top w:w="20" w:type="dxa"/>
              <w:left w:w="60" w:type="dxa"/>
              <w:bottom w:w="20" w:type="dxa"/>
              <w:right w:w="60" w:type="dxa"/>
            </w:tcMar>
            <w:vAlign w:val="center"/>
          </w:tcPr>
          <w:p w14:paraId="41B61640" w14:textId="77777777" w:rsidR="000B3DF0" w:rsidRDefault="00000000">
            <w:pPr>
              <w:keepNext/>
              <w:spacing w:line="228" w:lineRule="auto"/>
              <w:jc w:val="center"/>
            </w:pPr>
            <w:r>
              <w:rPr>
                <w:b/>
                <w:bCs/>
                <w:color w:val="FFFFFF"/>
                <w:sz w:val="17"/>
                <w:szCs w:val="17"/>
              </w:rPr>
              <w:t>8.90x</w:t>
            </w:r>
          </w:p>
        </w:tc>
        <w:tc>
          <w:tcPr>
            <w:tcW w:w="1780" w:type="dxa"/>
            <w:tcBorders>
              <w:top w:val="single" w:sz="4" w:space="0" w:color="BFBFBF"/>
              <w:left w:val="single" w:sz="4" w:space="0" w:color="BFBFBF"/>
              <w:bottom w:val="single" w:sz="4" w:space="0" w:color="BFBFBF"/>
              <w:right w:val="single" w:sz="4" w:space="0" w:color="BFBFBF"/>
            </w:tcBorders>
            <w:shd w:val="clear" w:color="auto" w:fill="1F3864"/>
            <w:tcMar>
              <w:top w:w="20" w:type="dxa"/>
              <w:left w:w="60" w:type="dxa"/>
              <w:bottom w:w="20" w:type="dxa"/>
              <w:right w:w="60" w:type="dxa"/>
            </w:tcMar>
            <w:vAlign w:val="center"/>
          </w:tcPr>
          <w:p w14:paraId="01807277" w14:textId="77777777" w:rsidR="000B3DF0" w:rsidRDefault="00000000">
            <w:pPr>
              <w:keepNext/>
              <w:spacing w:line="228" w:lineRule="auto"/>
              <w:jc w:val="center"/>
            </w:pPr>
            <w:r>
              <w:rPr>
                <w:b/>
                <w:bCs/>
                <w:color w:val="FFFFFF"/>
                <w:sz w:val="17"/>
                <w:szCs w:val="17"/>
              </w:rPr>
              <w:t>9.90x</w:t>
            </w:r>
          </w:p>
        </w:tc>
        <w:tc>
          <w:tcPr>
            <w:tcW w:w="1780" w:type="dxa"/>
            <w:tcBorders>
              <w:top w:val="single" w:sz="4" w:space="0" w:color="BFBFBF"/>
              <w:left w:val="single" w:sz="4" w:space="0" w:color="BFBFBF"/>
              <w:bottom w:val="single" w:sz="4" w:space="0" w:color="BFBFBF"/>
              <w:right w:val="single" w:sz="4" w:space="0" w:color="BFBFBF"/>
            </w:tcBorders>
            <w:shd w:val="clear" w:color="auto" w:fill="1F3864"/>
            <w:tcMar>
              <w:top w:w="20" w:type="dxa"/>
              <w:left w:w="60" w:type="dxa"/>
              <w:bottom w:w="20" w:type="dxa"/>
              <w:right w:w="60" w:type="dxa"/>
            </w:tcMar>
            <w:vAlign w:val="center"/>
          </w:tcPr>
          <w:p w14:paraId="37B3F135" w14:textId="77777777" w:rsidR="000B3DF0" w:rsidRDefault="00000000">
            <w:pPr>
              <w:keepNext/>
              <w:spacing w:line="228" w:lineRule="auto"/>
              <w:jc w:val="center"/>
            </w:pPr>
            <w:r>
              <w:rPr>
                <w:b/>
                <w:bCs/>
                <w:color w:val="FFFFFF"/>
                <w:sz w:val="17"/>
                <w:szCs w:val="17"/>
              </w:rPr>
              <w:t>10.90x</w:t>
            </w:r>
          </w:p>
        </w:tc>
      </w:tr>
      <w:tr w:rsidR="000B3DF0" w14:paraId="45B1DB73" w14:textId="77777777">
        <w:tc>
          <w:tcPr>
            <w:tcW w:w="1180" w:type="dxa"/>
            <w:tcBorders>
              <w:top w:val="single" w:sz="4" w:space="0" w:color="BFBFBF"/>
              <w:left w:val="single" w:sz="4" w:space="0" w:color="BFBFBF"/>
              <w:bottom w:val="single" w:sz="4" w:space="0" w:color="BFBFBF"/>
              <w:right w:val="single" w:sz="4" w:space="0" w:color="BFBFBF"/>
            </w:tcBorders>
            <w:shd w:val="clear" w:color="auto" w:fill="EEF2F8"/>
            <w:tcMar>
              <w:top w:w="20" w:type="dxa"/>
              <w:left w:w="60" w:type="dxa"/>
              <w:bottom w:w="20" w:type="dxa"/>
              <w:right w:w="60" w:type="dxa"/>
            </w:tcMar>
            <w:vAlign w:val="center"/>
          </w:tcPr>
          <w:p w14:paraId="6CD883A3" w14:textId="77777777" w:rsidR="000B3DF0" w:rsidRDefault="00000000">
            <w:pPr>
              <w:keepNext/>
              <w:spacing w:line="228" w:lineRule="auto"/>
            </w:pPr>
            <w:r>
              <w:rPr>
                <w:b/>
                <w:bCs/>
                <w:sz w:val="16"/>
                <w:szCs w:val="16"/>
              </w:rPr>
              <w:t>Entry 10.9x</w:t>
            </w:r>
          </w:p>
        </w:tc>
        <w:tc>
          <w:tcPr>
            <w:tcW w:w="1780" w:type="dxa"/>
            <w:tcBorders>
              <w:top w:val="single" w:sz="4" w:space="0" w:color="BFBFBF"/>
              <w:left w:val="single" w:sz="4" w:space="0" w:color="BFBFBF"/>
              <w:bottom w:val="single" w:sz="4" w:space="0" w:color="BFBFBF"/>
              <w:right w:val="single" w:sz="4" w:space="0" w:color="BFBFBF"/>
            </w:tcBorders>
            <w:shd w:val="clear" w:color="auto" w:fill="FFC7CE"/>
            <w:tcMar>
              <w:top w:w="20" w:type="dxa"/>
              <w:left w:w="60" w:type="dxa"/>
              <w:bottom w:w="20" w:type="dxa"/>
              <w:right w:w="60" w:type="dxa"/>
            </w:tcMar>
            <w:vAlign w:val="center"/>
          </w:tcPr>
          <w:p w14:paraId="493EE94B" w14:textId="77777777" w:rsidR="000B3DF0" w:rsidRDefault="00000000">
            <w:pPr>
              <w:keepNext/>
              <w:spacing w:line="228" w:lineRule="auto"/>
              <w:jc w:val="center"/>
            </w:pPr>
            <w:r>
              <w:rPr>
                <w:sz w:val="16"/>
                <w:szCs w:val="16"/>
              </w:rPr>
              <w:t>6.1% (1.35x)</w:t>
            </w:r>
          </w:p>
        </w:tc>
        <w:tc>
          <w:tcPr>
            <w:tcW w:w="1780" w:type="dxa"/>
            <w:tcBorders>
              <w:top w:val="single" w:sz="4" w:space="0" w:color="BFBFBF"/>
              <w:left w:val="single" w:sz="4" w:space="0" w:color="BFBFBF"/>
              <w:bottom w:val="single" w:sz="4" w:space="0" w:color="BFBFBF"/>
              <w:right w:val="single" w:sz="4" w:space="0" w:color="BFBFBF"/>
            </w:tcBorders>
            <w:shd w:val="clear" w:color="auto" w:fill="FFC7CE"/>
            <w:tcMar>
              <w:top w:w="20" w:type="dxa"/>
              <w:left w:w="60" w:type="dxa"/>
              <w:bottom w:w="20" w:type="dxa"/>
              <w:right w:w="60" w:type="dxa"/>
            </w:tcMar>
            <w:vAlign w:val="center"/>
          </w:tcPr>
          <w:p w14:paraId="0D88BD70" w14:textId="77777777" w:rsidR="000B3DF0" w:rsidRDefault="00000000">
            <w:pPr>
              <w:keepNext/>
              <w:spacing w:line="228" w:lineRule="auto"/>
              <w:jc w:val="center"/>
            </w:pPr>
            <w:r>
              <w:rPr>
                <w:sz w:val="16"/>
                <w:szCs w:val="16"/>
              </w:rPr>
              <w:t>9.5% (1.57x)</w:t>
            </w:r>
          </w:p>
        </w:tc>
        <w:tc>
          <w:tcPr>
            <w:tcW w:w="1780" w:type="dxa"/>
            <w:tcBorders>
              <w:top w:val="single" w:sz="4" w:space="0" w:color="BFBFBF"/>
              <w:left w:val="single" w:sz="4" w:space="0" w:color="BFBFBF"/>
              <w:bottom w:val="single" w:sz="4" w:space="0" w:color="BFBFBF"/>
              <w:right w:val="single" w:sz="4" w:space="0" w:color="BFBFBF"/>
            </w:tcBorders>
            <w:tcMar>
              <w:top w:w="20" w:type="dxa"/>
              <w:left w:w="60" w:type="dxa"/>
              <w:bottom w:w="20" w:type="dxa"/>
              <w:right w:w="60" w:type="dxa"/>
            </w:tcMar>
            <w:vAlign w:val="center"/>
          </w:tcPr>
          <w:p w14:paraId="51D82756" w14:textId="77777777" w:rsidR="000B3DF0" w:rsidRDefault="00000000">
            <w:pPr>
              <w:keepNext/>
              <w:spacing w:line="228" w:lineRule="auto"/>
              <w:jc w:val="center"/>
            </w:pPr>
            <w:r>
              <w:rPr>
                <w:sz w:val="16"/>
                <w:szCs w:val="16"/>
              </w:rPr>
              <w:t>12.4% (1.79x)</w:t>
            </w:r>
          </w:p>
        </w:tc>
        <w:tc>
          <w:tcPr>
            <w:tcW w:w="1780" w:type="dxa"/>
            <w:tcBorders>
              <w:top w:val="single" w:sz="4" w:space="0" w:color="BFBFBF"/>
              <w:left w:val="single" w:sz="4" w:space="0" w:color="BFBFBF"/>
              <w:bottom w:val="single" w:sz="4" w:space="0" w:color="BFBFBF"/>
              <w:right w:val="single" w:sz="4" w:space="0" w:color="BFBFBF"/>
            </w:tcBorders>
            <w:tcMar>
              <w:top w:w="20" w:type="dxa"/>
              <w:left w:w="60" w:type="dxa"/>
              <w:bottom w:w="20" w:type="dxa"/>
              <w:right w:w="60" w:type="dxa"/>
            </w:tcMar>
            <w:vAlign w:val="center"/>
          </w:tcPr>
          <w:p w14:paraId="6C69EA2D" w14:textId="77777777" w:rsidR="000B3DF0" w:rsidRDefault="00000000">
            <w:pPr>
              <w:keepNext/>
              <w:spacing w:line="228" w:lineRule="auto"/>
              <w:jc w:val="center"/>
            </w:pPr>
            <w:r>
              <w:rPr>
                <w:sz w:val="16"/>
                <w:szCs w:val="16"/>
              </w:rPr>
              <w:t>15.1% (2.02x)</w:t>
            </w:r>
          </w:p>
        </w:tc>
        <w:tc>
          <w:tcPr>
            <w:tcW w:w="1780" w:type="dxa"/>
            <w:tcBorders>
              <w:top w:val="single" w:sz="4" w:space="0" w:color="BFBFBF"/>
              <w:left w:val="single" w:sz="4" w:space="0" w:color="BFBFBF"/>
              <w:bottom w:val="single" w:sz="4" w:space="0" w:color="BFBFBF"/>
              <w:right w:val="single" w:sz="4" w:space="0" w:color="BFBFBF"/>
            </w:tcBorders>
            <w:tcMar>
              <w:top w:w="20" w:type="dxa"/>
              <w:left w:w="60" w:type="dxa"/>
              <w:bottom w:w="20" w:type="dxa"/>
              <w:right w:w="60" w:type="dxa"/>
            </w:tcMar>
            <w:vAlign w:val="center"/>
          </w:tcPr>
          <w:p w14:paraId="3649BBAE" w14:textId="77777777" w:rsidR="000B3DF0" w:rsidRDefault="00000000">
            <w:pPr>
              <w:keepNext/>
              <w:spacing w:line="228" w:lineRule="auto"/>
              <w:jc w:val="center"/>
            </w:pPr>
            <w:r>
              <w:rPr>
                <w:sz w:val="16"/>
                <w:szCs w:val="16"/>
              </w:rPr>
              <w:t>17.5% (2.24x)</w:t>
            </w:r>
          </w:p>
        </w:tc>
      </w:tr>
      <w:tr w:rsidR="000B3DF0" w14:paraId="3771D617" w14:textId="77777777">
        <w:tc>
          <w:tcPr>
            <w:tcW w:w="1180" w:type="dxa"/>
            <w:tcBorders>
              <w:top w:val="single" w:sz="4" w:space="0" w:color="BFBFBF"/>
              <w:left w:val="single" w:sz="4" w:space="0" w:color="BFBFBF"/>
              <w:bottom w:val="single" w:sz="4" w:space="0" w:color="BFBFBF"/>
              <w:right w:val="single" w:sz="4" w:space="0" w:color="BFBFBF"/>
            </w:tcBorders>
            <w:shd w:val="clear" w:color="auto" w:fill="EEF2F8"/>
            <w:tcMar>
              <w:top w:w="20" w:type="dxa"/>
              <w:left w:w="60" w:type="dxa"/>
              <w:bottom w:w="20" w:type="dxa"/>
              <w:right w:w="60" w:type="dxa"/>
            </w:tcMar>
            <w:vAlign w:val="center"/>
          </w:tcPr>
          <w:p w14:paraId="533CB16E" w14:textId="77777777" w:rsidR="000B3DF0" w:rsidRDefault="00000000">
            <w:pPr>
              <w:keepNext/>
              <w:spacing w:line="228" w:lineRule="auto"/>
            </w:pPr>
            <w:r>
              <w:rPr>
                <w:b/>
                <w:bCs/>
                <w:sz w:val="16"/>
                <w:szCs w:val="16"/>
              </w:rPr>
              <w:t>Entry 9.9x</w:t>
            </w:r>
          </w:p>
        </w:tc>
        <w:tc>
          <w:tcPr>
            <w:tcW w:w="1780" w:type="dxa"/>
            <w:tcBorders>
              <w:top w:val="single" w:sz="4" w:space="0" w:color="BFBFBF"/>
              <w:left w:val="single" w:sz="4" w:space="0" w:color="BFBFBF"/>
              <w:bottom w:val="single" w:sz="4" w:space="0" w:color="BFBFBF"/>
              <w:right w:val="single" w:sz="4" w:space="0" w:color="BFBFBF"/>
            </w:tcBorders>
            <w:shd w:val="clear" w:color="auto" w:fill="FFC7CE"/>
            <w:tcMar>
              <w:top w:w="20" w:type="dxa"/>
              <w:left w:w="60" w:type="dxa"/>
              <w:bottom w:w="20" w:type="dxa"/>
              <w:right w:w="60" w:type="dxa"/>
            </w:tcMar>
            <w:vAlign w:val="center"/>
          </w:tcPr>
          <w:p w14:paraId="5A6F9CF4" w14:textId="77777777" w:rsidR="000B3DF0" w:rsidRDefault="00000000">
            <w:pPr>
              <w:keepNext/>
              <w:spacing w:line="228" w:lineRule="auto"/>
              <w:jc w:val="center"/>
            </w:pPr>
            <w:r>
              <w:rPr>
                <w:sz w:val="16"/>
                <w:szCs w:val="16"/>
              </w:rPr>
              <w:t>9.6% (1.58x)</w:t>
            </w:r>
          </w:p>
        </w:tc>
        <w:tc>
          <w:tcPr>
            <w:tcW w:w="1780" w:type="dxa"/>
            <w:tcBorders>
              <w:top w:val="single" w:sz="4" w:space="0" w:color="BFBFBF"/>
              <w:left w:val="single" w:sz="4" w:space="0" w:color="BFBFBF"/>
              <w:bottom w:val="single" w:sz="4" w:space="0" w:color="BFBFBF"/>
              <w:right w:val="single" w:sz="4" w:space="0" w:color="BFBFBF"/>
            </w:tcBorders>
            <w:tcMar>
              <w:top w:w="20" w:type="dxa"/>
              <w:left w:w="60" w:type="dxa"/>
              <w:bottom w:w="20" w:type="dxa"/>
              <w:right w:w="60" w:type="dxa"/>
            </w:tcMar>
            <w:vAlign w:val="center"/>
          </w:tcPr>
          <w:p w14:paraId="06E52E3C" w14:textId="77777777" w:rsidR="000B3DF0" w:rsidRDefault="00000000">
            <w:pPr>
              <w:keepNext/>
              <w:spacing w:line="228" w:lineRule="auto"/>
              <w:jc w:val="center"/>
            </w:pPr>
            <w:r>
              <w:rPr>
                <w:sz w:val="16"/>
                <w:szCs w:val="16"/>
              </w:rPr>
              <w:t>13.0% (1.84x)</w:t>
            </w:r>
          </w:p>
        </w:tc>
        <w:tc>
          <w:tcPr>
            <w:tcW w:w="1780" w:type="dxa"/>
            <w:tcBorders>
              <w:top w:val="single" w:sz="4" w:space="0" w:color="BFBFBF"/>
              <w:left w:val="single" w:sz="4" w:space="0" w:color="BFBFBF"/>
              <w:bottom w:val="single" w:sz="4" w:space="0" w:color="BFBFBF"/>
              <w:right w:val="single" w:sz="4" w:space="0" w:color="BFBFBF"/>
            </w:tcBorders>
            <w:tcMar>
              <w:top w:w="20" w:type="dxa"/>
              <w:left w:w="60" w:type="dxa"/>
              <w:bottom w:w="20" w:type="dxa"/>
              <w:right w:w="60" w:type="dxa"/>
            </w:tcMar>
            <w:vAlign w:val="center"/>
          </w:tcPr>
          <w:p w14:paraId="212B755D" w14:textId="77777777" w:rsidR="000B3DF0" w:rsidRDefault="00000000">
            <w:pPr>
              <w:keepNext/>
              <w:spacing w:line="228" w:lineRule="auto"/>
              <w:jc w:val="center"/>
            </w:pPr>
            <w:r>
              <w:rPr>
                <w:sz w:val="16"/>
                <w:szCs w:val="16"/>
              </w:rPr>
              <w:t>16.1% (2.11x)</w:t>
            </w:r>
          </w:p>
        </w:tc>
        <w:tc>
          <w:tcPr>
            <w:tcW w:w="1780" w:type="dxa"/>
            <w:tcBorders>
              <w:top w:val="single" w:sz="4" w:space="0" w:color="BFBFBF"/>
              <w:left w:val="single" w:sz="4" w:space="0" w:color="BFBFBF"/>
              <w:bottom w:val="single" w:sz="4" w:space="0" w:color="BFBFBF"/>
              <w:right w:val="single" w:sz="4" w:space="0" w:color="BFBFBF"/>
            </w:tcBorders>
            <w:tcMar>
              <w:top w:w="20" w:type="dxa"/>
              <w:left w:w="60" w:type="dxa"/>
              <w:bottom w:w="20" w:type="dxa"/>
              <w:right w:w="60" w:type="dxa"/>
            </w:tcMar>
            <w:vAlign w:val="center"/>
          </w:tcPr>
          <w:p w14:paraId="1B4221CA" w14:textId="77777777" w:rsidR="000B3DF0" w:rsidRDefault="00000000">
            <w:pPr>
              <w:keepNext/>
              <w:spacing w:line="228" w:lineRule="auto"/>
              <w:jc w:val="center"/>
            </w:pPr>
            <w:r>
              <w:rPr>
                <w:sz w:val="16"/>
                <w:szCs w:val="16"/>
              </w:rPr>
              <w:t>18.8% (2.37x)</w:t>
            </w:r>
          </w:p>
        </w:tc>
        <w:tc>
          <w:tcPr>
            <w:tcW w:w="1780" w:type="dxa"/>
            <w:tcBorders>
              <w:top w:val="single" w:sz="4" w:space="0" w:color="BFBFBF"/>
              <w:left w:val="single" w:sz="4" w:space="0" w:color="BFBFBF"/>
              <w:bottom w:val="single" w:sz="4" w:space="0" w:color="BFBFBF"/>
              <w:right w:val="single" w:sz="4" w:space="0" w:color="BFBFBF"/>
            </w:tcBorders>
            <w:shd w:val="clear" w:color="auto" w:fill="C6EFCE"/>
            <w:tcMar>
              <w:top w:w="20" w:type="dxa"/>
              <w:left w:w="60" w:type="dxa"/>
              <w:bottom w:w="20" w:type="dxa"/>
              <w:right w:w="60" w:type="dxa"/>
            </w:tcMar>
            <w:vAlign w:val="center"/>
          </w:tcPr>
          <w:p w14:paraId="53171447" w14:textId="77777777" w:rsidR="000B3DF0" w:rsidRDefault="00000000">
            <w:pPr>
              <w:keepNext/>
              <w:spacing w:line="228" w:lineRule="auto"/>
              <w:jc w:val="center"/>
            </w:pPr>
            <w:r>
              <w:rPr>
                <w:sz w:val="16"/>
                <w:szCs w:val="16"/>
              </w:rPr>
              <w:t>21.4% (2.63x)</w:t>
            </w:r>
          </w:p>
        </w:tc>
      </w:tr>
      <w:tr w:rsidR="000B3DF0" w14:paraId="4FC05592" w14:textId="77777777">
        <w:tc>
          <w:tcPr>
            <w:tcW w:w="1180" w:type="dxa"/>
            <w:tcBorders>
              <w:top w:val="single" w:sz="4" w:space="0" w:color="BFBFBF"/>
              <w:left w:val="single" w:sz="4" w:space="0" w:color="BFBFBF"/>
              <w:bottom w:val="single" w:sz="4" w:space="0" w:color="BFBFBF"/>
              <w:right w:val="single" w:sz="4" w:space="0" w:color="BFBFBF"/>
            </w:tcBorders>
            <w:shd w:val="clear" w:color="auto" w:fill="EEF2F8"/>
            <w:tcMar>
              <w:top w:w="20" w:type="dxa"/>
              <w:left w:w="60" w:type="dxa"/>
              <w:bottom w:w="20" w:type="dxa"/>
              <w:right w:w="60" w:type="dxa"/>
            </w:tcMar>
            <w:vAlign w:val="center"/>
          </w:tcPr>
          <w:p w14:paraId="252EF238" w14:textId="77777777" w:rsidR="000B3DF0" w:rsidRDefault="00000000">
            <w:pPr>
              <w:keepNext/>
              <w:spacing w:line="228" w:lineRule="auto"/>
            </w:pPr>
            <w:r>
              <w:rPr>
                <w:b/>
                <w:bCs/>
                <w:sz w:val="16"/>
                <w:szCs w:val="16"/>
              </w:rPr>
              <w:t>Entry 8.9x</w:t>
            </w:r>
          </w:p>
        </w:tc>
        <w:tc>
          <w:tcPr>
            <w:tcW w:w="1780" w:type="dxa"/>
            <w:tcBorders>
              <w:top w:val="single" w:sz="4" w:space="0" w:color="BFBFBF"/>
              <w:left w:val="single" w:sz="4" w:space="0" w:color="BFBFBF"/>
              <w:bottom w:val="single" w:sz="4" w:space="0" w:color="BFBFBF"/>
              <w:right w:val="single" w:sz="4" w:space="0" w:color="BFBFBF"/>
            </w:tcBorders>
            <w:tcMar>
              <w:top w:w="20" w:type="dxa"/>
              <w:left w:w="60" w:type="dxa"/>
              <w:bottom w:w="20" w:type="dxa"/>
              <w:right w:w="60" w:type="dxa"/>
            </w:tcMar>
            <w:vAlign w:val="center"/>
          </w:tcPr>
          <w:p w14:paraId="150F1B39" w14:textId="77777777" w:rsidR="000B3DF0" w:rsidRDefault="00000000">
            <w:pPr>
              <w:keepNext/>
              <w:spacing w:line="228" w:lineRule="auto"/>
              <w:jc w:val="center"/>
            </w:pPr>
            <w:r>
              <w:rPr>
                <w:sz w:val="16"/>
                <w:szCs w:val="16"/>
              </w:rPr>
              <w:t>13.8% (1.91x)</w:t>
            </w:r>
          </w:p>
        </w:tc>
        <w:tc>
          <w:tcPr>
            <w:tcW w:w="1780" w:type="dxa"/>
            <w:tcBorders>
              <w:top w:val="single" w:sz="4" w:space="0" w:color="BFBFBF"/>
              <w:left w:val="single" w:sz="4" w:space="0" w:color="BFBFBF"/>
              <w:bottom w:val="single" w:sz="4" w:space="0" w:color="BFBFBF"/>
              <w:right w:val="single" w:sz="4" w:space="0" w:color="BFBFBF"/>
            </w:tcBorders>
            <w:tcMar>
              <w:top w:w="20" w:type="dxa"/>
              <w:left w:w="60" w:type="dxa"/>
              <w:bottom w:w="20" w:type="dxa"/>
              <w:right w:w="60" w:type="dxa"/>
            </w:tcMar>
            <w:vAlign w:val="center"/>
          </w:tcPr>
          <w:p w14:paraId="7F941B1E" w14:textId="77777777" w:rsidR="000B3DF0" w:rsidRDefault="00000000">
            <w:pPr>
              <w:keepNext/>
              <w:spacing w:line="228" w:lineRule="auto"/>
              <w:jc w:val="center"/>
            </w:pPr>
            <w:r>
              <w:rPr>
                <w:sz w:val="16"/>
                <w:szCs w:val="16"/>
              </w:rPr>
              <w:t>17.4% (2.23x)</w:t>
            </w:r>
          </w:p>
        </w:tc>
        <w:tc>
          <w:tcPr>
            <w:tcW w:w="1780" w:type="dxa"/>
            <w:tcBorders>
              <w:top w:val="single" w:sz="4" w:space="0" w:color="BFBFBF"/>
              <w:left w:val="single" w:sz="4" w:space="0" w:color="BFBFBF"/>
              <w:bottom w:val="single" w:sz="4" w:space="0" w:color="BFBFBF"/>
              <w:right w:val="single" w:sz="4" w:space="0" w:color="BFBFBF"/>
            </w:tcBorders>
            <w:shd w:val="clear" w:color="auto" w:fill="C6EFCE"/>
            <w:tcMar>
              <w:top w:w="20" w:type="dxa"/>
              <w:left w:w="60" w:type="dxa"/>
              <w:bottom w:w="20" w:type="dxa"/>
              <w:right w:w="60" w:type="dxa"/>
            </w:tcMar>
            <w:vAlign w:val="center"/>
          </w:tcPr>
          <w:p w14:paraId="6FE13DB0" w14:textId="77777777" w:rsidR="000B3DF0" w:rsidRDefault="00000000">
            <w:pPr>
              <w:keepNext/>
              <w:spacing w:line="228" w:lineRule="auto"/>
              <w:jc w:val="center"/>
            </w:pPr>
            <w:r>
              <w:rPr>
                <w:b/>
                <w:bCs/>
                <w:sz w:val="16"/>
                <w:szCs w:val="16"/>
              </w:rPr>
              <w:t>20.6% (2.55x)</w:t>
            </w:r>
          </w:p>
        </w:tc>
        <w:tc>
          <w:tcPr>
            <w:tcW w:w="1780" w:type="dxa"/>
            <w:tcBorders>
              <w:top w:val="single" w:sz="4" w:space="0" w:color="BFBFBF"/>
              <w:left w:val="single" w:sz="4" w:space="0" w:color="BFBFBF"/>
              <w:bottom w:val="single" w:sz="4" w:space="0" w:color="BFBFBF"/>
              <w:right w:val="single" w:sz="4" w:space="0" w:color="BFBFBF"/>
            </w:tcBorders>
            <w:shd w:val="clear" w:color="auto" w:fill="C6EFCE"/>
            <w:tcMar>
              <w:top w:w="20" w:type="dxa"/>
              <w:left w:w="60" w:type="dxa"/>
              <w:bottom w:w="20" w:type="dxa"/>
              <w:right w:w="60" w:type="dxa"/>
            </w:tcMar>
            <w:vAlign w:val="center"/>
          </w:tcPr>
          <w:p w14:paraId="2F088971" w14:textId="77777777" w:rsidR="000B3DF0" w:rsidRDefault="00000000">
            <w:pPr>
              <w:keepNext/>
              <w:spacing w:line="228" w:lineRule="auto"/>
              <w:jc w:val="center"/>
            </w:pPr>
            <w:r>
              <w:rPr>
                <w:sz w:val="16"/>
                <w:szCs w:val="16"/>
              </w:rPr>
              <w:t>23.4% (2.87x)</w:t>
            </w:r>
          </w:p>
        </w:tc>
        <w:tc>
          <w:tcPr>
            <w:tcW w:w="1780" w:type="dxa"/>
            <w:tcBorders>
              <w:top w:val="single" w:sz="4" w:space="0" w:color="BFBFBF"/>
              <w:left w:val="single" w:sz="4" w:space="0" w:color="BFBFBF"/>
              <w:bottom w:val="single" w:sz="4" w:space="0" w:color="BFBFBF"/>
              <w:right w:val="single" w:sz="4" w:space="0" w:color="BFBFBF"/>
            </w:tcBorders>
            <w:shd w:val="clear" w:color="auto" w:fill="C6EFCE"/>
            <w:tcMar>
              <w:top w:w="20" w:type="dxa"/>
              <w:left w:w="60" w:type="dxa"/>
              <w:bottom w:w="20" w:type="dxa"/>
              <w:right w:w="60" w:type="dxa"/>
            </w:tcMar>
            <w:vAlign w:val="center"/>
          </w:tcPr>
          <w:p w14:paraId="758D7B4E" w14:textId="77777777" w:rsidR="000B3DF0" w:rsidRDefault="00000000">
            <w:pPr>
              <w:keepNext/>
              <w:spacing w:line="228" w:lineRule="auto"/>
              <w:jc w:val="center"/>
            </w:pPr>
            <w:r>
              <w:rPr>
                <w:sz w:val="16"/>
                <w:szCs w:val="16"/>
              </w:rPr>
              <w:t>26.1% (3.18x)</w:t>
            </w:r>
          </w:p>
        </w:tc>
      </w:tr>
      <w:tr w:rsidR="000B3DF0" w14:paraId="18384344" w14:textId="77777777">
        <w:tc>
          <w:tcPr>
            <w:tcW w:w="1180" w:type="dxa"/>
            <w:tcBorders>
              <w:top w:val="single" w:sz="4" w:space="0" w:color="BFBFBF"/>
              <w:left w:val="single" w:sz="4" w:space="0" w:color="BFBFBF"/>
              <w:bottom w:val="single" w:sz="4" w:space="0" w:color="BFBFBF"/>
              <w:right w:val="single" w:sz="4" w:space="0" w:color="BFBFBF"/>
            </w:tcBorders>
            <w:shd w:val="clear" w:color="auto" w:fill="EEF2F8"/>
            <w:tcMar>
              <w:top w:w="20" w:type="dxa"/>
              <w:left w:w="60" w:type="dxa"/>
              <w:bottom w:w="20" w:type="dxa"/>
              <w:right w:w="60" w:type="dxa"/>
            </w:tcMar>
            <w:vAlign w:val="center"/>
          </w:tcPr>
          <w:p w14:paraId="209FB428" w14:textId="77777777" w:rsidR="000B3DF0" w:rsidRDefault="00000000">
            <w:pPr>
              <w:keepNext/>
              <w:spacing w:line="228" w:lineRule="auto"/>
            </w:pPr>
            <w:r>
              <w:rPr>
                <w:b/>
                <w:bCs/>
                <w:sz w:val="16"/>
                <w:szCs w:val="16"/>
              </w:rPr>
              <w:t>Entry 7.9x</w:t>
            </w:r>
          </w:p>
        </w:tc>
        <w:tc>
          <w:tcPr>
            <w:tcW w:w="1780" w:type="dxa"/>
            <w:tcBorders>
              <w:top w:val="single" w:sz="4" w:space="0" w:color="BFBFBF"/>
              <w:left w:val="single" w:sz="4" w:space="0" w:color="BFBFBF"/>
              <w:bottom w:val="single" w:sz="4" w:space="0" w:color="BFBFBF"/>
              <w:right w:val="single" w:sz="4" w:space="0" w:color="BFBFBF"/>
            </w:tcBorders>
            <w:tcMar>
              <w:top w:w="20" w:type="dxa"/>
              <w:left w:w="60" w:type="dxa"/>
              <w:bottom w:w="20" w:type="dxa"/>
              <w:right w:w="60" w:type="dxa"/>
            </w:tcMar>
            <w:vAlign w:val="center"/>
          </w:tcPr>
          <w:p w14:paraId="29CF2E83" w14:textId="77777777" w:rsidR="000B3DF0" w:rsidRDefault="00000000">
            <w:pPr>
              <w:keepNext/>
              <w:spacing w:line="228" w:lineRule="auto"/>
              <w:jc w:val="center"/>
            </w:pPr>
            <w:r>
              <w:rPr>
                <w:sz w:val="16"/>
                <w:szCs w:val="16"/>
              </w:rPr>
              <w:t>19.3% (2.42x)</w:t>
            </w:r>
          </w:p>
        </w:tc>
        <w:tc>
          <w:tcPr>
            <w:tcW w:w="1780" w:type="dxa"/>
            <w:tcBorders>
              <w:top w:val="single" w:sz="4" w:space="0" w:color="BFBFBF"/>
              <w:left w:val="single" w:sz="4" w:space="0" w:color="BFBFBF"/>
              <w:bottom w:val="single" w:sz="4" w:space="0" w:color="BFBFBF"/>
              <w:right w:val="single" w:sz="4" w:space="0" w:color="BFBFBF"/>
            </w:tcBorders>
            <w:shd w:val="clear" w:color="auto" w:fill="C6EFCE"/>
            <w:tcMar>
              <w:top w:w="20" w:type="dxa"/>
              <w:left w:w="60" w:type="dxa"/>
              <w:bottom w:w="20" w:type="dxa"/>
              <w:right w:w="60" w:type="dxa"/>
            </w:tcMar>
            <w:vAlign w:val="center"/>
          </w:tcPr>
          <w:p w14:paraId="0C38121D" w14:textId="77777777" w:rsidR="000B3DF0" w:rsidRDefault="00000000">
            <w:pPr>
              <w:keepNext/>
              <w:spacing w:line="228" w:lineRule="auto"/>
              <w:jc w:val="center"/>
            </w:pPr>
            <w:r>
              <w:rPr>
                <w:sz w:val="16"/>
                <w:szCs w:val="16"/>
              </w:rPr>
              <w:t>23.1% (2.82x)</w:t>
            </w:r>
          </w:p>
        </w:tc>
        <w:tc>
          <w:tcPr>
            <w:tcW w:w="1780" w:type="dxa"/>
            <w:tcBorders>
              <w:top w:val="single" w:sz="4" w:space="0" w:color="BFBFBF"/>
              <w:left w:val="single" w:sz="4" w:space="0" w:color="BFBFBF"/>
              <w:bottom w:val="single" w:sz="4" w:space="0" w:color="BFBFBF"/>
              <w:right w:val="single" w:sz="4" w:space="0" w:color="BFBFBF"/>
            </w:tcBorders>
            <w:shd w:val="clear" w:color="auto" w:fill="C6EFCE"/>
            <w:tcMar>
              <w:top w:w="20" w:type="dxa"/>
              <w:left w:w="60" w:type="dxa"/>
              <w:bottom w:w="20" w:type="dxa"/>
              <w:right w:w="60" w:type="dxa"/>
            </w:tcMar>
            <w:vAlign w:val="center"/>
          </w:tcPr>
          <w:p w14:paraId="5E1B90B1" w14:textId="77777777" w:rsidR="000B3DF0" w:rsidRDefault="00000000">
            <w:pPr>
              <w:keepNext/>
              <w:spacing w:line="228" w:lineRule="auto"/>
              <w:jc w:val="center"/>
            </w:pPr>
            <w:r>
              <w:rPr>
                <w:sz w:val="16"/>
                <w:szCs w:val="16"/>
              </w:rPr>
              <w:t>26.4% (3.23x)</w:t>
            </w:r>
          </w:p>
        </w:tc>
        <w:tc>
          <w:tcPr>
            <w:tcW w:w="1780" w:type="dxa"/>
            <w:tcBorders>
              <w:top w:val="single" w:sz="4" w:space="0" w:color="BFBFBF"/>
              <w:left w:val="single" w:sz="4" w:space="0" w:color="BFBFBF"/>
              <w:bottom w:val="single" w:sz="4" w:space="0" w:color="BFBFBF"/>
              <w:right w:val="single" w:sz="4" w:space="0" w:color="BFBFBF"/>
            </w:tcBorders>
            <w:shd w:val="clear" w:color="auto" w:fill="C6EFCE"/>
            <w:tcMar>
              <w:top w:w="20" w:type="dxa"/>
              <w:left w:w="60" w:type="dxa"/>
              <w:bottom w:w="20" w:type="dxa"/>
              <w:right w:w="60" w:type="dxa"/>
            </w:tcMar>
            <w:vAlign w:val="center"/>
          </w:tcPr>
          <w:p w14:paraId="628AABF1" w14:textId="77777777" w:rsidR="000B3DF0" w:rsidRDefault="00000000">
            <w:pPr>
              <w:keepNext/>
              <w:spacing w:line="228" w:lineRule="auto"/>
              <w:jc w:val="center"/>
            </w:pPr>
            <w:r>
              <w:rPr>
                <w:sz w:val="16"/>
                <w:szCs w:val="16"/>
              </w:rPr>
              <w:t>29.4% (3.63x)</w:t>
            </w:r>
          </w:p>
        </w:tc>
        <w:tc>
          <w:tcPr>
            <w:tcW w:w="1780" w:type="dxa"/>
            <w:tcBorders>
              <w:top w:val="single" w:sz="4" w:space="0" w:color="BFBFBF"/>
              <w:left w:val="single" w:sz="4" w:space="0" w:color="BFBFBF"/>
              <w:bottom w:val="single" w:sz="4" w:space="0" w:color="BFBFBF"/>
              <w:right w:val="single" w:sz="4" w:space="0" w:color="BFBFBF"/>
            </w:tcBorders>
            <w:shd w:val="clear" w:color="auto" w:fill="C6EFCE"/>
            <w:tcMar>
              <w:top w:w="20" w:type="dxa"/>
              <w:left w:w="60" w:type="dxa"/>
              <w:bottom w:w="20" w:type="dxa"/>
              <w:right w:w="60" w:type="dxa"/>
            </w:tcMar>
            <w:vAlign w:val="center"/>
          </w:tcPr>
          <w:p w14:paraId="7CF32DFD" w14:textId="77777777" w:rsidR="000B3DF0" w:rsidRDefault="00000000">
            <w:pPr>
              <w:keepNext/>
              <w:spacing w:line="228" w:lineRule="auto"/>
              <w:jc w:val="center"/>
            </w:pPr>
            <w:r>
              <w:rPr>
                <w:sz w:val="16"/>
                <w:szCs w:val="16"/>
              </w:rPr>
              <w:t>32.1% (4.03x)</w:t>
            </w:r>
          </w:p>
        </w:tc>
      </w:tr>
      <w:tr w:rsidR="000B3DF0" w14:paraId="77F7BBC8" w14:textId="77777777">
        <w:tc>
          <w:tcPr>
            <w:tcW w:w="1180" w:type="dxa"/>
            <w:tcBorders>
              <w:top w:val="single" w:sz="4" w:space="0" w:color="BFBFBF"/>
              <w:left w:val="single" w:sz="4" w:space="0" w:color="BFBFBF"/>
              <w:bottom w:val="single" w:sz="4" w:space="0" w:color="BFBFBF"/>
              <w:right w:val="single" w:sz="4" w:space="0" w:color="BFBFBF"/>
            </w:tcBorders>
            <w:shd w:val="clear" w:color="auto" w:fill="EEF2F8"/>
            <w:tcMar>
              <w:top w:w="20" w:type="dxa"/>
              <w:left w:w="60" w:type="dxa"/>
              <w:bottom w:w="20" w:type="dxa"/>
              <w:right w:w="60" w:type="dxa"/>
            </w:tcMar>
            <w:vAlign w:val="center"/>
          </w:tcPr>
          <w:p w14:paraId="41794106" w14:textId="77777777" w:rsidR="000B3DF0" w:rsidRDefault="00000000">
            <w:pPr>
              <w:spacing w:line="228" w:lineRule="auto"/>
            </w:pPr>
            <w:r>
              <w:rPr>
                <w:b/>
                <w:bCs/>
                <w:sz w:val="16"/>
                <w:szCs w:val="16"/>
              </w:rPr>
              <w:t>Entry 6.9x</w:t>
            </w:r>
          </w:p>
        </w:tc>
        <w:tc>
          <w:tcPr>
            <w:tcW w:w="1780" w:type="dxa"/>
            <w:tcBorders>
              <w:top w:val="single" w:sz="4" w:space="0" w:color="BFBFBF"/>
              <w:left w:val="single" w:sz="4" w:space="0" w:color="BFBFBF"/>
              <w:bottom w:val="single" w:sz="4" w:space="0" w:color="BFBFBF"/>
              <w:right w:val="single" w:sz="4" w:space="0" w:color="BFBFBF"/>
            </w:tcBorders>
            <w:shd w:val="clear" w:color="auto" w:fill="C6EFCE"/>
            <w:tcMar>
              <w:top w:w="20" w:type="dxa"/>
              <w:left w:w="60" w:type="dxa"/>
              <w:bottom w:w="20" w:type="dxa"/>
              <w:right w:w="60" w:type="dxa"/>
            </w:tcMar>
            <w:vAlign w:val="center"/>
          </w:tcPr>
          <w:p w14:paraId="63C05B4B" w14:textId="77777777" w:rsidR="000B3DF0" w:rsidRDefault="00000000">
            <w:pPr>
              <w:spacing w:line="228" w:lineRule="auto"/>
              <w:jc w:val="center"/>
            </w:pPr>
            <w:r>
              <w:rPr>
                <w:sz w:val="16"/>
                <w:szCs w:val="16"/>
              </w:rPr>
              <w:t>26.9% (3.30x)</w:t>
            </w:r>
          </w:p>
        </w:tc>
        <w:tc>
          <w:tcPr>
            <w:tcW w:w="1780" w:type="dxa"/>
            <w:tcBorders>
              <w:top w:val="single" w:sz="4" w:space="0" w:color="BFBFBF"/>
              <w:left w:val="single" w:sz="4" w:space="0" w:color="BFBFBF"/>
              <w:bottom w:val="single" w:sz="4" w:space="0" w:color="BFBFBF"/>
              <w:right w:val="single" w:sz="4" w:space="0" w:color="BFBFBF"/>
            </w:tcBorders>
            <w:shd w:val="clear" w:color="auto" w:fill="C6EFCE"/>
            <w:tcMar>
              <w:top w:w="20" w:type="dxa"/>
              <w:left w:w="60" w:type="dxa"/>
              <w:bottom w:w="20" w:type="dxa"/>
              <w:right w:w="60" w:type="dxa"/>
            </w:tcMar>
            <w:vAlign w:val="center"/>
          </w:tcPr>
          <w:p w14:paraId="657B3D76" w14:textId="77777777" w:rsidR="000B3DF0" w:rsidRDefault="00000000">
            <w:pPr>
              <w:spacing w:line="228" w:lineRule="auto"/>
              <w:jc w:val="center"/>
            </w:pPr>
            <w:r>
              <w:rPr>
                <w:sz w:val="16"/>
                <w:szCs w:val="16"/>
              </w:rPr>
              <w:t>30.9% (3.84x)</w:t>
            </w:r>
          </w:p>
        </w:tc>
        <w:tc>
          <w:tcPr>
            <w:tcW w:w="1780" w:type="dxa"/>
            <w:tcBorders>
              <w:top w:val="single" w:sz="4" w:space="0" w:color="BFBFBF"/>
              <w:left w:val="single" w:sz="4" w:space="0" w:color="BFBFBF"/>
              <w:bottom w:val="single" w:sz="4" w:space="0" w:color="BFBFBF"/>
              <w:right w:val="single" w:sz="4" w:space="0" w:color="BFBFBF"/>
            </w:tcBorders>
            <w:shd w:val="clear" w:color="auto" w:fill="C6EFCE"/>
            <w:tcMar>
              <w:top w:w="20" w:type="dxa"/>
              <w:left w:w="60" w:type="dxa"/>
              <w:bottom w:w="20" w:type="dxa"/>
              <w:right w:w="60" w:type="dxa"/>
            </w:tcMar>
            <w:vAlign w:val="center"/>
          </w:tcPr>
          <w:p w14:paraId="43F1C350" w14:textId="77777777" w:rsidR="000B3DF0" w:rsidRDefault="00000000">
            <w:pPr>
              <w:spacing w:line="228" w:lineRule="auto"/>
              <w:jc w:val="center"/>
            </w:pPr>
            <w:r>
              <w:rPr>
                <w:sz w:val="16"/>
                <w:szCs w:val="16"/>
              </w:rPr>
              <w:t>34.4% (4.39x)</w:t>
            </w:r>
          </w:p>
        </w:tc>
        <w:tc>
          <w:tcPr>
            <w:tcW w:w="1780" w:type="dxa"/>
            <w:tcBorders>
              <w:top w:val="single" w:sz="4" w:space="0" w:color="BFBFBF"/>
              <w:left w:val="single" w:sz="4" w:space="0" w:color="BFBFBF"/>
              <w:bottom w:val="single" w:sz="4" w:space="0" w:color="BFBFBF"/>
              <w:right w:val="single" w:sz="4" w:space="0" w:color="BFBFBF"/>
            </w:tcBorders>
            <w:shd w:val="clear" w:color="auto" w:fill="C6EFCE"/>
            <w:tcMar>
              <w:top w:w="20" w:type="dxa"/>
              <w:left w:w="60" w:type="dxa"/>
              <w:bottom w:w="20" w:type="dxa"/>
              <w:right w:w="60" w:type="dxa"/>
            </w:tcMar>
            <w:vAlign w:val="center"/>
          </w:tcPr>
          <w:p w14:paraId="2CDEC009" w14:textId="77777777" w:rsidR="000B3DF0" w:rsidRDefault="00000000">
            <w:pPr>
              <w:spacing w:line="228" w:lineRule="auto"/>
              <w:jc w:val="center"/>
            </w:pPr>
            <w:r>
              <w:rPr>
                <w:sz w:val="16"/>
                <w:szCs w:val="16"/>
              </w:rPr>
              <w:t>37.6% (4.94x)</w:t>
            </w:r>
          </w:p>
        </w:tc>
        <w:tc>
          <w:tcPr>
            <w:tcW w:w="1780" w:type="dxa"/>
            <w:tcBorders>
              <w:top w:val="single" w:sz="4" w:space="0" w:color="BFBFBF"/>
              <w:left w:val="single" w:sz="4" w:space="0" w:color="BFBFBF"/>
              <w:bottom w:val="single" w:sz="4" w:space="0" w:color="BFBFBF"/>
              <w:right w:val="single" w:sz="4" w:space="0" w:color="BFBFBF"/>
            </w:tcBorders>
            <w:shd w:val="clear" w:color="auto" w:fill="C6EFCE"/>
            <w:tcMar>
              <w:top w:w="20" w:type="dxa"/>
              <w:left w:w="60" w:type="dxa"/>
              <w:bottom w:w="20" w:type="dxa"/>
              <w:right w:w="60" w:type="dxa"/>
            </w:tcMar>
            <w:vAlign w:val="center"/>
          </w:tcPr>
          <w:p w14:paraId="7879E94A" w14:textId="77777777" w:rsidR="000B3DF0" w:rsidRDefault="00000000">
            <w:pPr>
              <w:spacing w:line="228" w:lineRule="auto"/>
              <w:jc w:val="center"/>
            </w:pPr>
            <w:r>
              <w:rPr>
                <w:sz w:val="16"/>
                <w:szCs w:val="16"/>
              </w:rPr>
              <w:t>40.6% (5.49x)</w:t>
            </w:r>
          </w:p>
        </w:tc>
      </w:tr>
    </w:tbl>
    <w:p w14:paraId="75EBEA41" w14:textId="77777777" w:rsidR="000B3DF0" w:rsidRDefault="000B3DF0">
      <w:pPr>
        <w:spacing w:after="30" w:line="120" w:lineRule="auto"/>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80"/>
        <w:gridCol w:w="1780"/>
        <w:gridCol w:w="1780"/>
        <w:gridCol w:w="1780"/>
        <w:gridCol w:w="1780"/>
        <w:gridCol w:w="1780"/>
      </w:tblGrid>
      <w:tr w:rsidR="000B3DF0" w14:paraId="28E88E6C" w14:textId="77777777">
        <w:tc>
          <w:tcPr>
            <w:tcW w:w="1180" w:type="dxa"/>
            <w:tcBorders>
              <w:top w:val="single" w:sz="4" w:space="0" w:color="BFBFBF"/>
              <w:left w:val="single" w:sz="4" w:space="0" w:color="BFBFBF"/>
              <w:bottom w:val="single" w:sz="4" w:space="0" w:color="BFBFBF"/>
              <w:right w:val="single" w:sz="4" w:space="0" w:color="BFBFBF"/>
            </w:tcBorders>
            <w:shd w:val="clear" w:color="auto" w:fill="1F3864"/>
            <w:tcMar>
              <w:top w:w="20" w:type="dxa"/>
              <w:left w:w="60" w:type="dxa"/>
              <w:bottom w:w="20" w:type="dxa"/>
              <w:right w:w="60" w:type="dxa"/>
            </w:tcMar>
            <w:vAlign w:val="center"/>
          </w:tcPr>
          <w:p w14:paraId="7686B087" w14:textId="77777777" w:rsidR="000B3DF0" w:rsidRDefault="00000000">
            <w:pPr>
              <w:keepNext/>
              <w:spacing w:line="228" w:lineRule="auto"/>
            </w:pPr>
            <w:r>
              <w:rPr>
                <w:b/>
                <w:bCs/>
                <w:color w:val="FFFFFF"/>
                <w:sz w:val="16"/>
                <w:szCs w:val="16"/>
              </w:rPr>
              <w:lastRenderedPageBreak/>
              <w:t>Bull case</w:t>
            </w:r>
          </w:p>
        </w:tc>
        <w:tc>
          <w:tcPr>
            <w:tcW w:w="1780" w:type="dxa"/>
            <w:tcBorders>
              <w:top w:val="single" w:sz="4" w:space="0" w:color="BFBFBF"/>
              <w:left w:val="single" w:sz="4" w:space="0" w:color="BFBFBF"/>
              <w:bottom w:val="single" w:sz="4" w:space="0" w:color="BFBFBF"/>
              <w:right w:val="single" w:sz="4" w:space="0" w:color="BFBFBF"/>
            </w:tcBorders>
            <w:shd w:val="clear" w:color="auto" w:fill="1F3864"/>
            <w:tcMar>
              <w:top w:w="20" w:type="dxa"/>
              <w:left w:w="60" w:type="dxa"/>
              <w:bottom w:w="20" w:type="dxa"/>
              <w:right w:w="60" w:type="dxa"/>
            </w:tcMar>
            <w:vAlign w:val="center"/>
          </w:tcPr>
          <w:p w14:paraId="282F210F" w14:textId="77777777" w:rsidR="000B3DF0" w:rsidRDefault="00000000">
            <w:pPr>
              <w:keepNext/>
              <w:spacing w:line="228" w:lineRule="auto"/>
              <w:jc w:val="center"/>
            </w:pPr>
            <w:r>
              <w:rPr>
                <w:b/>
                <w:bCs/>
                <w:color w:val="FFFFFF"/>
                <w:sz w:val="17"/>
                <w:szCs w:val="17"/>
              </w:rPr>
              <w:t>8.10x</w:t>
            </w:r>
          </w:p>
        </w:tc>
        <w:tc>
          <w:tcPr>
            <w:tcW w:w="1780" w:type="dxa"/>
            <w:tcBorders>
              <w:top w:val="single" w:sz="4" w:space="0" w:color="BFBFBF"/>
              <w:left w:val="single" w:sz="4" w:space="0" w:color="BFBFBF"/>
              <w:bottom w:val="single" w:sz="4" w:space="0" w:color="BFBFBF"/>
              <w:right w:val="single" w:sz="4" w:space="0" w:color="BFBFBF"/>
            </w:tcBorders>
            <w:shd w:val="clear" w:color="auto" w:fill="1F3864"/>
            <w:tcMar>
              <w:top w:w="20" w:type="dxa"/>
              <w:left w:w="60" w:type="dxa"/>
              <w:bottom w:w="20" w:type="dxa"/>
              <w:right w:w="60" w:type="dxa"/>
            </w:tcMar>
            <w:vAlign w:val="center"/>
          </w:tcPr>
          <w:p w14:paraId="3313F339" w14:textId="77777777" w:rsidR="000B3DF0" w:rsidRDefault="00000000">
            <w:pPr>
              <w:keepNext/>
              <w:spacing w:line="228" w:lineRule="auto"/>
              <w:jc w:val="center"/>
            </w:pPr>
            <w:r>
              <w:rPr>
                <w:b/>
                <w:bCs/>
                <w:color w:val="FFFFFF"/>
                <w:sz w:val="17"/>
                <w:szCs w:val="17"/>
              </w:rPr>
              <w:t>9.10x</w:t>
            </w:r>
          </w:p>
        </w:tc>
        <w:tc>
          <w:tcPr>
            <w:tcW w:w="1780" w:type="dxa"/>
            <w:tcBorders>
              <w:top w:val="single" w:sz="4" w:space="0" w:color="BFBFBF"/>
              <w:left w:val="single" w:sz="4" w:space="0" w:color="BFBFBF"/>
              <w:bottom w:val="single" w:sz="4" w:space="0" w:color="BFBFBF"/>
              <w:right w:val="single" w:sz="4" w:space="0" w:color="BFBFBF"/>
            </w:tcBorders>
            <w:shd w:val="clear" w:color="auto" w:fill="1F3864"/>
            <w:tcMar>
              <w:top w:w="20" w:type="dxa"/>
              <w:left w:w="60" w:type="dxa"/>
              <w:bottom w:w="20" w:type="dxa"/>
              <w:right w:w="60" w:type="dxa"/>
            </w:tcMar>
            <w:vAlign w:val="center"/>
          </w:tcPr>
          <w:p w14:paraId="1F66A315" w14:textId="77777777" w:rsidR="000B3DF0" w:rsidRDefault="00000000">
            <w:pPr>
              <w:keepNext/>
              <w:spacing w:line="228" w:lineRule="auto"/>
              <w:jc w:val="center"/>
            </w:pPr>
            <w:r>
              <w:rPr>
                <w:b/>
                <w:bCs/>
                <w:color w:val="FFFFFF"/>
                <w:sz w:val="17"/>
                <w:szCs w:val="17"/>
              </w:rPr>
              <w:t>10.10x</w:t>
            </w:r>
          </w:p>
        </w:tc>
        <w:tc>
          <w:tcPr>
            <w:tcW w:w="1780" w:type="dxa"/>
            <w:tcBorders>
              <w:top w:val="single" w:sz="4" w:space="0" w:color="BFBFBF"/>
              <w:left w:val="single" w:sz="4" w:space="0" w:color="BFBFBF"/>
              <w:bottom w:val="single" w:sz="4" w:space="0" w:color="BFBFBF"/>
              <w:right w:val="single" w:sz="4" w:space="0" w:color="BFBFBF"/>
            </w:tcBorders>
            <w:shd w:val="clear" w:color="auto" w:fill="1F3864"/>
            <w:tcMar>
              <w:top w:w="20" w:type="dxa"/>
              <w:left w:w="60" w:type="dxa"/>
              <w:bottom w:w="20" w:type="dxa"/>
              <w:right w:w="60" w:type="dxa"/>
            </w:tcMar>
            <w:vAlign w:val="center"/>
          </w:tcPr>
          <w:p w14:paraId="3F8B1A25" w14:textId="77777777" w:rsidR="000B3DF0" w:rsidRDefault="00000000">
            <w:pPr>
              <w:keepNext/>
              <w:spacing w:line="228" w:lineRule="auto"/>
              <w:jc w:val="center"/>
            </w:pPr>
            <w:r>
              <w:rPr>
                <w:b/>
                <w:bCs/>
                <w:color w:val="FFFFFF"/>
                <w:sz w:val="17"/>
                <w:szCs w:val="17"/>
              </w:rPr>
              <w:t>11.10x</w:t>
            </w:r>
          </w:p>
        </w:tc>
        <w:tc>
          <w:tcPr>
            <w:tcW w:w="1780" w:type="dxa"/>
            <w:tcBorders>
              <w:top w:val="single" w:sz="4" w:space="0" w:color="BFBFBF"/>
              <w:left w:val="single" w:sz="4" w:space="0" w:color="BFBFBF"/>
              <w:bottom w:val="single" w:sz="4" w:space="0" w:color="BFBFBF"/>
              <w:right w:val="single" w:sz="4" w:space="0" w:color="BFBFBF"/>
            </w:tcBorders>
            <w:shd w:val="clear" w:color="auto" w:fill="1F3864"/>
            <w:tcMar>
              <w:top w:w="20" w:type="dxa"/>
              <w:left w:w="60" w:type="dxa"/>
              <w:bottom w:w="20" w:type="dxa"/>
              <w:right w:w="60" w:type="dxa"/>
            </w:tcMar>
            <w:vAlign w:val="center"/>
          </w:tcPr>
          <w:p w14:paraId="5676DC26" w14:textId="77777777" w:rsidR="000B3DF0" w:rsidRDefault="00000000">
            <w:pPr>
              <w:keepNext/>
              <w:spacing w:line="228" w:lineRule="auto"/>
              <w:jc w:val="center"/>
            </w:pPr>
            <w:r>
              <w:rPr>
                <w:b/>
                <w:bCs/>
                <w:color w:val="FFFFFF"/>
                <w:sz w:val="17"/>
                <w:szCs w:val="17"/>
              </w:rPr>
              <w:t>12.10x</w:t>
            </w:r>
          </w:p>
        </w:tc>
      </w:tr>
      <w:tr w:rsidR="000B3DF0" w14:paraId="5AAC18EF" w14:textId="77777777">
        <w:tc>
          <w:tcPr>
            <w:tcW w:w="1180" w:type="dxa"/>
            <w:tcBorders>
              <w:top w:val="single" w:sz="4" w:space="0" w:color="BFBFBF"/>
              <w:left w:val="single" w:sz="4" w:space="0" w:color="BFBFBF"/>
              <w:bottom w:val="single" w:sz="4" w:space="0" w:color="BFBFBF"/>
              <w:right w:val="single" w:sz="4" w:space="0" w:color="BFBFBF"/>
            </w:tcBorders>
            <w:shd w:val="clear" w:color="auto" w:fill="EEF2F8"/>
            <w:tcMar>
              <w:top w:w="20" w:type="dxa"/>
              <w:left w:w="60" w:type="dxa"/>
              <w:bottom w:w="20" w:type="dxa"/>
              <w:right w:w="60" w:type="dxa"/>
            </w:tcMar>
            <w:vAlign w:val="center"/>
          </w:tcPr>
          <w:p w14:paraId="7CAC9F4B" w14:textId="77777777" w:rsidR="000B3DF0" w:rsidRDefault="00000000">
            <w:pPr>
              <w:keepNext/>
              <w:spacing w:line="228" w:lineRule="auto"/>
            </w:pPr>
            <w:r>
              <w:rPr>
                <w:b/>
                <w:bCs/>
                <w:sz w:val="16"/>
                <w:szCs w:val="16"/>
              </w:rPr>
              <w:t>Entry 10.9x</w:t>
            </w:r>
          </w:p>
        </w:tc>
        <w:tc>
          <w:tcPr>
            <w:tcW w:w="1780" w:type="dxa"/>
            <w:tcBorders>
              <w:top w:val="single" w:sz="4" w:space="0" w:color="BFBFBF"/>
              <w:left w:val="single" w:sz="4" w:space="0" w:color="BFBFBF"/>
              <w:bottom w:val="single" w:sz="4" w:space="0" w:color="BFBFBF"/>
              <w:right w:val="single" w:sz="4" w:space="0" w:color="BFBFBF"/>
            </w:tcBorders>
            <w:tcMar>
              <w:top w:w="20" w:type="dxa"/>
              <w:left w:w="60" w:type="dxa"/>
              <w:bottom w:w="20" w:type="dxa"/>
              <w:right w:w="60" w:type="dxa"/>
            </w:tcMar>
            <w:vAlign w:val="center"/>
          </w:tcPr>
          <w:p w14:paraId="05680D31" w14:textId="77777777" w:rsidR="000B3DF0" w:rsidRDefault="00000000">
            <w:pPr>
              <w:keepNext/>
              <w:spacing w:line="228" w:lineRule="auto"/>
              <w:jc w:val="center"/>
            </w:pPr>
            <w:r>
              <w:rPr>
                <w:sz w:val="16"/>
                <w:szCs w:val="16"/>
              </w:rPr>
              <w:t>14.7% (1.99x)</w:t>
            </w:r>
          </w:p>
        </w:tc>
        <w:tc>
          <w:tcPr>
            <w:tcW w:w="1780" w:type="dxa"/>
            <w:tcBorders>
              <w:top w:val="single" w:sz="4" w:space="0" w:color="BFBFBF"/>
              <w:left w:val="single" w:sz="4" w:space="0" w:color="BFBFBF"/>
              <w:bottom w:val="single" w:sz="4" w:space="0" w:color="BFBFBF"/>
              <w:right w:val="single" w:sz="4" w:space="0" w:color="BFBFBF"/>
            </w:tcBorders>
            <w:tcMar>
              <w:top w:w="20" w:type="dxa"/>
              <w:left w:w="60" w:type="dxa"/>
              <w:bottom w:w="20" w:type="dxa"/>
              <w:right w:w="60" w:type="dxa"/>
            </w:tcMar>
            <w:vAlign w:val="center"/>
          </w:tcPr>
          <w:p w14:paraId="03CEB78B" w14:textId="77777777" w:rsidR="000B3DF0" w:rsidRDefault="00000000">
            <w:pPr>
              <w:keepNext/>
              <w:spacing w:line="228" w:lineRule="auto"/>
              <w:jc w:val="center"/>
            </w:pPr>
            <w:r>
              <w:rPr>
                <w:sz w:val="16"/>
                <w:szCs w:val="16"/>
              </w:rPr>
              <w:t>17.6% (2.25x)</w:t>
            </w:r>
          </w:p>
        </w:tc>
        <w:tc>
          <w:tcPr>
            <w:tcW w:w="1780" w:type="dxa"/>
            <w:tcBorders>
              <w:top w:val="single" w:sz="4" w:space="0" w:color="BFBFBF"/>
              <w:left w:val="single" w:sz="4" w:space="0" w:color="BFBFBF"/>
              <w:bottom w:val="single" w:sz="4" w:space="0" w:color="BFBFBF"/>
              <w:right w:val="single" w:sz="4" w:space="0" w:color="BFBFBF"/>
            </w:tcBorders>
            <w:shd w:val="clear" w:color="auto" w:fill="C6EFCE"/>
            <w:tcMar>
              <w:top w:w="20" w:type="dxa"/>
              <w:left w:w="60" w:type="dxa"/>
              <w:bottom w:w="20" w:type="dxa"/>
              <w:right w:w="60" w:type="dxa"/>
            </w:tcMar>
            <w:vAlign w:val="center"/>
          </w:tcPr>
          <w:p w14:paraId="2C63FF74" w14:textId="77777777" w:rsidR="000B3DF0" w:rsidRDefault="00000000">
            <w:pPr>
              <w:keepNext/>
              <w:spacing w:line="228" w:lineRule="auto"/>
              <w:jc w:val="center"/>
            </w:pPr>
            <w:r>
              <w:rPr>
                <w:sz w:val="16"/>
                <w:szCs w:val="16"/>
              </w:rPr>
              <w:t>20.2% (2.51x)</w:t>
            </w:r>
          </w:p>
        </w:tc>
        <w:tc>
          <w:tcPr>
            <w:tcW w:w="1780" w:type="dxa"/>
            <w:tcBorders>
              <w:top w:val="single" w:sz="4" w:space="0" w:color="BFBFBF"/>
              <w:left w:val="single" w:sz="4" w:space="0" w:color="BFBFBF"/>
              <w:bottom w:val="single" w:sz="4" w:space="0" w:color="BFBFBF"/>
              <w:right w:val="single" w:sz="4" w:space="0" w:color="BFBFBF"/>
            </w:tcBorders>
            <w:shd w:val="clear" w:color="auto" w:fill="C6EFCE"/>
            <w:tcMar>
              <w:top w:w="20" w:type="dxa"/>
              <w:left w:w="60" w:type="dxa"/>
              <w:bottom w:w="20" w:type="dxa"/>
              <w:right w:w="60" w:type="dxa"/>
            </w:tcMar>
            <w:vAlign w:val="center"/>
          </w:tcPr>
          <w:p w14:paraId="134BC236" w14:textId="77777777" w:rsidR="000B3DF0" w:rsidRDefault="00000000">
            <w:pPr>
              <w:keepNext/>
              <w:spacing w:line="228" w:lineRule="auto"/>
              <w:jc w:val="center"/>
            </w:pPr>
            <w:r>
              <w:rPr>
                <w:sz w:val="16"/>
                <w:szCs w:val="16"/>
              </w:rPr>
              <w:t>22.6% (2.77x)</w:t>
            </w:r>
          </w:p>
        </w:tc>
        <w:tc>
          <w:tcPr>
            <w:tcW w:w="1780" w:type="dxa"/>
            <w:tcBorders>
              <w:top w:val="single" w:sz="4" w:space="0" w:color="BFBFBF"/>
              <w:left w:val="single" w:sz="4" w:space="0" w:color="BFBFBF"/>
              <w:bottom w:val="single" w:sz="4" w:space="0" w:color="BFBFBF"/>
              <w:right w:val="single" w:sz="4" w:space="0" w:color="BFBFBF"/>
            </w:tcBorders>
            <w:shd w:val="clear" w:color="auto" w:fill="C6EFCE"/>
            <w:tcMar>
              <w:top w:w="20" w:type="dxa"/>
              <w:left w:w="60" w:type="dxa"/>
              <w:bottom w:w="20" w:type="dxa"/>
              <w:right w:w="60" w:type="dxa"/>
            </w:tcMar>
            <w:vAlign w:val="center"/>
          </w:tcPr>
          <w:p w14:paraId="5C664684" w14:textId="77777777" w:rsidR="000B3DF0" w:rsidRDefault="00000000">
            <w:pPr>
              <w:keepNext/>
              <w:spacing w:line="228" w:lineRule="auto"/>
              <w:jc w:val="center"/>
            </w:pPr>
            <w:r>
              <w:rPr>
                <w:sz w:val="16"/>
                <w:szCs w:val="16"/>
              </w:rPr>
              <w:t>24.8% (3.03x)</w:t>
            </w:r>
          </w:p>
        </w:tc>
      </w:tr>
      <w:tr w:rsidR="000B3DF0" w14:paraId="10E586C1" w14:textId="77777777">
        <w:tc>
          <w:tcPr>
            <w:tcW w:w="1180" w:type="dxa"/>
            <w:tcBorders>
              <w:top w:val="single" w:sz="4" w:space="0" w:color="BFBFBF"/>
              <w:left w:val="single" w:sz="4" w:space="0" w:color="BFBFBF"/>
              <w:bottom w:val="single" w:sz="4" w:space="0" w:color="BFBFBF"/>
              <w:right w:val="single" w:sz="4" w:space="0" w:color="BFBFBF"/>
            </w:tcBorders>
            <w:shd w:val="clear" w:color="auto" w:fill="EEF2F8"/>
            <w:tcMar>
              <w:top w:w="20" w:type="dxa"/>
              <w:left w:w="60" w:type="dxa"/>
              <w:bottom w:w="20" w:type="dxa"/>
              <w:right w:w="60" w:type="dxa"/>
            </w:tcMar>
            <w:vAlign w:val="center"/>
          </w:tcPr>
          <w:p w14:paraId="174560A5" w14:textId="77777777" w:rsidR="000B3DF0" w:rsidRDefault="00000000">
            <w:pPr>
              <w:keepNext/>
              <w:spacing w:line="228" w:lineRule="auto"/>
            </w:pPr>
            <w:r>
              <w:rPr>
                <w:b/>
                <w:bCs/>
                <w:sz w:val="16"/>
                <w:szCs w:val="16"/>
              </w:rPr>
              <w:t>Entry 9.9x</w:t>
            </w:r>
          </w:p>
        </w:tc>
        <w:tc>
          <w:tcPr>
            <w:tcW w:w="1780" w:type="dxa"/>
            <w:tcBorders>
              <w:top w:val="single" w:sz="4" w:space="0" w:color="BFBFBF"/>
              <w:left w:val="single" w:sz="4" w:space="0" w:color="BFBFBF"/>
              <w:bottom w:val="single" w:sz="4" w:space="0" w:color="BFBFBF"/>
              <w:right w:val="single" w:sz="4" w:space="0" w:color="BFBFBF"/>
            </w:tcBorders>
            <w:tcMar>
              <w:top w:w="20" w:type="dxa"/>
              <w:left w:w="60" w:type="dxa"/>
              <w:bottom w:w="20" w:type="dxa"/>
              <w:right w:w="60" w:type="dxa"/>
            </w:tcMar>
            <w:vAlign w:val="center"/>
          </w:tcPr>
          <w:p w14:paraId="5B9948EC" w14:textId="77777777" w:rsidR="000B3DF0" w:rsidRDefault="00000000">
            <w:pPr>
              <w:keepNext/>
              <w:spacing w:line="228" w:lineRule="auto"/>
              <w:jc w:val="center"/>
            </w:pPr>
            <w:r>
              <w:rPr>
                <w:sz w:val="16"/>
                <w:szCs w:val="16"/>
              </w:rPr>
              <w:t>18.4% (2.33x)</w:t>
            </w:r>
          </w:p>
        </w:tc>
        <w:tc>
          <w:tcPr>
            <w:tcW w:w="1780" w:type="dxa"/>
            <w:tcBorders>
              <w:top w:val="single" w:sz="4" w:space="0" w:color="BFBFBF"/>
              <w:left w:val="single" w:sz="4" w:space="0" w:color="BFBFBF"/>
              <w:bottom w:val="single" w:sz="4" w:space="0" w:color="BFBFBF"/>
              <w:right w:val="single" w:sz="4" w:space="0" w:color="BFBFBF"/>
            </w:tcBorders>
            <w:shd w:val="clear" w:color="auto" w:fill="C6EFCE"/>
            <w:tcMar>
              <w:top w:w="20" w:type="dxa"/>
              <w:left w:w="60" w:type="dxa"/>
              <w:bottom w:w="20" w:type="dxa"/>
              <w:right w:w="60" w:type="dxa"/>
            </w:tcMar>
            <w:vAlign w:val="center"/>
          </w:tcPr>
          <w:p w14:paraId="228F5B4E" w14:textId="77777777" w:rsidR="000B3DF0" w:rsidRDefault="00000000">
            <w:pPr>
              <w:keepNext/>
              <w:spacing w:line="228" w:lineRule="auto"/>
              <w:jc w:val="center"/>
            </w:pPr>
            <w:r>
              <w:rPr>
                <w:sz w:val="16"/>
                <w:szCs w:val="16"/>
              </w:rPr>
              <w:t>21.4% (2.64x)</w:t>
            </w:r>
          </w:p>
        </w:tc>
        <w:tc>
          <w:tcPr>
            <w:tcW w:w="1780" w:type="dxa"/>
            <w:tcBorders>
              <w:top w:val="single" w:sz="4" w:space="0" w:color="BFBFBF"/>
              <w:left w:val="single" w:sz="4" w:space="0" w:color="BFBFBF"/>
              <w:bottom w:val="single" w:sz="4" w:space="0" w:color="BFBFBF"/>
              <w:right w:val="single" w:sz="4" w:space="0" w:color="BFBFBF"/>
            </w:tcBorders>
            <w:shd w:val="clear" w:color="auto" w:fill="C6EFCE"/>
            <w:tcMar>
              <w:top w:w="20" w:type="dxa"/>
              <w:left w:w="60" w:type="dxa"/>
              <w:bottom w:w="20" w:type="dxa"/>
              <w:right w:w="60" w:type="dxa"/>
            </w:tcMar>
            <w:vAlign w:val="center"/>
          </w:tcPr>
          <w:p w14:paraId="70AE8371" w14:textId="77777777" w:rsidR="000B3DF0" w:rsidRDefault="00000000">
            <w:pPr>
              <w:keepNext/>
              <w:spacing w:line="228" w:lineRule="auto"/>
              <w:jc w:val="center"/>
            </w:pPr>
            <w:r>
              <w:rPr>
                <w:sz w:val="16"/>
                <w:szCs w:val="16"/>
              </w:rPr>
              <w:t>24.1% (2.94x)</w:t>
            </w:r>
          </w:p>
        </w:tc>
        <w:tc>
          <w:tcPr>
            <w:tcW w:w="1780" w:type="dxa"/>
            <w:tcBorders>
              <w:top w:val="single" w:sz="4" w:space="0" w:color="BFBFBF"/>
              <w:left w:val="single" w:sz="4" w:space="0" w:color="BFBFBF"/>
              <w:bottom w:val="single" w:sz="4" w:space="0" w:color="BFBFBF"/>
              <w:right w:val="single" w:sz="4" w:space="0" w:color="BFBFBF"/>
            </w:tcBorders>
            <w:shd w:val="clear" w:color="auto" w:fill="C6EFCE"/>
            <w:tcMar>
              <w:top w:w="20" w:type="dxa"/>
              <w:left w:w="60" w:type="dxa"/>
              <w:bottom w:w="20" w:type="dxa"/>
              <w:right w:w="60" w:type="dxa"/>
            </w:tcMar>
            <w:vAlign w:val="center"/>
          </w:tcPr>
          <w:p w14:paraId="71F58A85" w14:textId="77777777" w:rsidR="000B3DF0" w:rsidRDefault="00000000">
            <w:pPr>
              <w:keepNext/>
              <w:spacing w:line="228" w:lineRule="auto"/>
              <w:jc w:val="center"/>
            </w:pPr>
            <w:r>
              <w:rPr>
                <w:sz w:val="16"/>
                <w:szCs w:val="16"/>
              </w:rPr>
              <w:t>26.6% (3.25x)</w:t>
            </w:r>
          </w:p>
        </w:tc>
        <w:tc>
          <w:tcPr>
            <w:tcW w:w="1780" w:type="dxa"/>
            <w:tcBorders>
              <w:top w:val="single" w:sz="4" w:space="0" w:color="BFBFBF"/>
              <w:left w:val="single" w:sz="4" w:space="0" w:color="BFBFBF"/>
              <w:bottom w:val="single" w:sz="4" w:space="0" w:color="BFBFBF"/>
              <w:right w:val="single" w:sz="4" w:space="0" w:color="BFBFBF"/>
            </w:tcBorders>
            <w:shd w:val="clear" w:color="auto" w:fill="C6EFCE"/>
            <w:tcMar>
              <w:top w:w="20" w:type="dxa"/>
              <w:left w:w="60" w:type="dxa"/>
              <w:bottom w:w="20" w:type="dxa"/>
              <w:right w:w="60" w:type="dxa"/>
            </w:tcMar>
            <w:vAlign w:val="center"/>
          </w:tcPr>
          <w:p w14:paraId="73D015E9" w14:textId="77777777" w:rsidR="000B3DF0" w:rsidRDefault="00000000">
            <w:pPr>
              <w:keepNext/>
              <w:spacing w:line="228" w:lineRule="auto"/>
              <w:jc w:val="center"/>
            </w:pPr>
            <w:r>
              <w:rPr>
                <w:sz w:val="16"/>
                <w:szCs w:val="16"/>
              </w:rPr>
              <w:t>28.9% (3.56x)</w:t>
            </w:r>
          </w:p>
        </w:tc>
      </w:tr>
      <w:tr w:rsidR="000B3DF0" w14:paraId="4B576E97" w14:textId="77777777">
        <w:tc>
          <w:tcPr>
            <w:tcW w:w="1180" w:type="dxa"/>
            <w:tcBorders>
              <w:top w:val="single" w:sz="4" w:space="0" w:color="BFBFBF"/>
              <w:left w:val="single" w:sz="4" w:space="0" w:color="BFBFBF"/>
              <w:bottom w:val="single" w:sz="4" w:space="0" w:color="BFBFBF"/>
              <w:right w:val="single" w:sz="4" w:space="0" w:color="BFBFBF"/>
            </w:tcBorders>
            <w:shd w:val="clear" w:color="auto" w:fill="EEF2F8"/>
            <w:tcMar>
              <w:top w:w="20" w:type="dxa"/>
              <w:left w:w="60" w:type="dxa"/>
              <w:bottom w:w="20" w:type="dxa"/>
              <w:right w:w="60" w:type="dxa"/>
            </w:tcMar>
            <w:vAlign w:val="center"/>
          </w:tcPr>
          <w:p w14:paraId="506F5E5F" w14:textId="77777777" w:rsidR="000B3DF0" w:rsidRDefault="00000000">
            <w:pPr>
              <w:keepNext/>
              <w:spacing w:line="228" w:lineRule="auto"/>
            </w:pPr>
            <w:r>
              <w:rPr>
                <w:b/>
                <w:bCs/>
                <w:sz w:val="16"/>
                <w:szCs w:val="16"/>
              </w:rPr>
              <w:t>Entry 8.9x</w:t>
            </w:r>
          </w:p>
        </w:tc>
        <w:tc>
          <w:tcPr>
            <w:tcW w:w="1780" w:type="dxa"/>
            <w:tcBorders>
              <w:top w:val="single" w:sz="4" w:space="0" w:color="BFBFBF"/>
              <w:left w:val="single" w:sz="4" w:space="0" w:color="BFBFBF"/>
              <w:bottom w:val="single" w:sz="4" w:space="0" w:color="BFBFBF"/>
              <w:right w:val="single" w:sz="4" w:space="0" w:color="BFBFBF"/>
            </w:tcBorders>
            <w:shd w:val="clear" w:color="auto" w:fill="C6EFCE"/>
            <w:tcMar>
              <w:top w:w="20" w:type="dxa"/>
              <w:left w:w="60" w:type="dxa"/>
              <w:bottom w:w="20" w:type="dxa"/>
              <w:right w:w="60" w:type="dxa"/>
            </w:tcMar>
            <w:vAlign w:val="center"/>
          </w:tcPr>
          <w:p w14:paraId="5B844E8F" w14:textId="77777777" w:rsidR="000B3DF0" w:rsidRDefault="00000000">
            <w:pPr>
              <w:keepNext/>
              <w:spacing w:line="228" w:lineRule="auto"/>
              <w:jc w:val="center"/>
            </w:pPr>
            <w:r>
              <w:rPr>
                <w:sz w:val="16"/>
                <w:szCs w:val="16"/>
              </w:rPr>
              <w:t>23.0% (2.82x)</w:t>
            </w:r>
          </w:p>
        </w:tc>
        <w:tc>
          <w:tcPr>
            <w:tcW w:w="1780" w:type="dxa"/>
            <w:tcBorders>
              <w:top w:val="single" w:sz="4" w:space="0" w:color="BFBFBF"/>
              <w:left w:val="single" w:sz="4" w:space="0" w:color="BFBFBF"/>
              <w:bottom w:val="single" w:sz="4" w:space="0" w:color="BFBFBF"/>
              <w:right w:val="single" w:sz="4" w:space="0" w:color="BFBFBF"/>
            </w:tcBorders>
            <w:shd w:val="clear" w:color="auto" w:fill="C6EFCE"/>
            <w:tcMar>
              <w:top w:w="20" w:type="dxa"/>
              <w:left w:w="60" w:type="dxa"/>
              <w:bottom w:w="20" w:type="dxa"/>
              <w:right w:w="60" w:type="dxa"/>
            </w:tcMar>
            <w:vAlign w:val="center"/>
          </w:tcPr>
          <w:p w14:paraId="7DC69AF0" w14:textId="77777777" w:rsidR="000B3DF0" w:rsidRDefault="00000000">
            <w:pPr>
              <w:keepNext/>
              <w:spacing w:line="228" w:lineRule="auto"/>
              <w:jc w:val="center"/>
            </w:pPr>
            <w:r>
              <w:rPr>
                <w:sz w:val="16"/>
                <w:szCs w:val="16"/>
              </w:rPr>
              <w:t>26.1% (3.19x)</w:t>
            </w:r>
          </w:p>
        </w:tc>
        <w:tc>
          <w:tcPr>
            <w:tcW w:w="1780" w:type="dxa"/>
            <w:tcBorders>
              <w:top w:val="single" w:sz="4" w:space="0" w:color="BFBFBF"/>
              <w:left w:val="single" w:sz="4" w:space="0" w:color="BFBFBF"/>
              <w:bottom w:val="single" w:sz="4" w:space="0" w:color="BFBFBF"/>
              <w:right w:val="single" w:sz="4" w:space="0" w:color="BFBFBF"/>
            </w:tcBorders>
            <w:shd w:val="clear" w:color="auto" w:fill="C6EFCE"/>
            <w:tcMar>
              <w:top w:w="20" w:type="dxa"/>
              <w:left w:w="60" w:type="dxa"/>
              <w:bottom w:w="20" w:type="dxa"/>
              <w:right w:w="60" w:type="dxa"/>
            </w:tcMar>
            <w:vAlign w:val="center"/>
          </w:tcPr>
          <w:p w14:paraId="4732E4F8" w14:textId="77777777" w:rsidR="000B3DF0" w:rsidRDefault="00000000">
            <w:pPr>
              <w:keepNext/>
              <w:spacing w:line="228" w:lineRule="auto"/>
              <w:jc w:val="center"/>
            </w:pPr>
            <w:r>
              <w:rPr>
                <w:b/>
                <w:bCs/>
                <w:sz w:val="16"/>
                <w:szCs w:val="16"/>
              </w:rPr>
              <w:t>28.9% (3.56x)</w:t>
            </w:r>
          </w:p>
        </w:tc>
        <w:tc>
          <w:tcPr>
            <w:tcW w:w="1780" w:type="dxa"/>
            <w:tcBorders>
              <w:top w:val="single" w:sz="4" w:space="0" w:color="BFBFBF"/>
              <w:left w:val="single" w:sz="4" w:space="0" w:color="BFBFBF"/>
              <w:bottom w:val="single" w:sz="4" w:space="0" w:color="BFBFBF"/>
              <w:right w:val="single" w:sz="4" w:space="0" w:color="BFBFBF"/>
            </w:tcBorders>
            <w:shd w:val="clear" w:color="auto" w:fill="C6EFCE"/>
            <w:tcMar>
              <w:top w:w="20" w:type="dxa"/>
              <w:left w:w="60" w:type="dxa"/>
              <w:bottom w:w="20" w:type="dxa"/>
              <w:right w:w="60" w:type="dxa"/>
            </w:tcMar>
            <w:vAlign w:val="center"/>
          </w:tcPr>
          <w:p w14:paraId="0686DAA2" w14:textId="77777777" w:rsidR="000B3DF0" w:rsidRDefault="00000000">
            <w:pPr>
              <w:keepNext/>
              <w:spacing w:line="228" w:lineRule="auto"/>
              <w:jc w:val="center"/>
            </w:pPr>
            <w:r>
              <w:rPr>
                <w:sz w:val="16"/>
                <w:szCs w:val="16"/>
              </w:rPr>
              <w:t>31.5% (3.93x)</w:t>
            </w:r>
          </w:p>
        </w:tc>
        <w:tc>
          <w:tcPr>
            <w:tcW w:w="1780" w:type="dxa"/>
            <w:tcBorders>
              <w:top w:val="single" w:sz="4" w:space="0" w:color="BFBFBF"/>
              <w:left w:val="single" w:sz="4" w:space="0" w:color="BFBFBF"/>
              <w:bottom w:val="single" w:sz="4" w:space="0" w:color="BFBFBF"/>
              <w:right w:val="single" w:sz="4" w:space="0" w:color="BFBFBF"/>
            </w:tcBorders>
            <w:shd w:val="clear" w:color="auto" w:fill="C6EFCE"/>
            <w:tcMar>
              <w:top w:w="20" w:type="dxa"/>
              <w:left w:w="60" w:type="dxa"/>
              <w:bottom w:w="20" w:type="dxa"/>
              <w:right w:w="60" w:type="dxa"/>
            </w:tcMar>
            <w:vAlign w:val="center"/>
          </w:tcPr>
          <w:p w14:paraId="7E7E38D6" w14:textId="77777777" w:rsidR="000B3DF0" w:rsidRDefault="00000000">
            <w:pPr>
              <w:keepNext/>
              <w:spacing w:line="228" w:lineRule="auto"/>
              <w:jc w:val="center"/>
            </w:pPr>
            <w:r>
              <w:rPr>
                <w:sz w:val="16"/>
                <w:szCs w:val="16"/>
              </w:rPr>
              <w:t>33.9% (4.30x)</w:t>
            </w:r>
          </w:p>
        </w:tc>
      </w:tr>
      <w:tr w:rsidR="000B3DF0" w14:paraId="3C09E0CF" w14:textId="77777777">
        <w:tc>
          <w:tcPr>
            <w:tcW w:w="1180" w:type="dxa"/>
            <w:tcBorders>
              <w:top w:val="single" w:sz="4" w:space="0" w:color="BFBFBF"/>
              <w:left w:val="single" w:sz="4" w:space="0" w:color="BFBFBF"/>
              <w:bottom w:val="single" w:sz="4" w:space="0" w:color="BFBFBF"/>
              <w:right w:val="single" w:sz="4" w:space="0" w:color="BFBFBF"/>
            </w:tcBorders>
            <w:shd w:val="clear" w:color="auto" w:fill="EEF2F8"/>
            <w:tcMar>
              <w:top w:w="20" w:type="dxa"/>
              <w:left w:w="60" w:type="dxa"/>
              <w:bottom w:w="20" w:type="dxa"/>
              <w:right w:w="60" w:type="dxa"/>
            </w:tcMar>
            <w:vAlign w:val="center"/>
          </w:tcPr>
          <w:p w14:paraId="743A72A4" w14:textId="77777777" w:rsidR="000B3DF0" w:rsidRDefault="00000000">
            <w:pPr>
              <w:keepNext/>
              <w:spacing w:line="228" w:lineRule="auto"/>
            </w:pPr>
            <w:r>
              <w:rPr>
                <w:b/>
                <w:bCs/>
                <w:sz w:val="16"/>
                <w:szCs w:val="16"/>
              </w:rPr>
              <w:t>Entry 7.9x</w:t>
            </w:r>
          </w:p>
        </w:tc>
        <w:tc>
          <w:tcPr>
            <w:tcW w:w="1780" w:type="dxa"/>
            <w:tcBorders>
              <w:top w:val="single" w:sz="4" w:space="0" w:color="BFBFBF"/>
              <w:left w:val="single" w:sz="4" w:space="0" w:color="BFBFBF"/>
              <w:bottom w:val="single" w:sz="4" w:space="0" w:color="BFBFBF"/>
              <w:right w:val="single" w:sz="4" w:space="0" w:color="BFBFBF"/>
            </w:tcBorders>
            <w:shd w:val="clear" w:color="auto" w:fill="C6EFCE"/>
            <w:tcMar>
              <w:top w:w="20" w:type="dxa"/>
              <w:left w:w="60" w:type="dxa"/>
              <w:bottom w:w="20" w:type="dxa"/>
              <w:right w:w="60" w:type="dxa"/>
            </w:tcMar>
            <w:vAlign w:val="center"/>
          </w:tcPr>
          <w:p w14:paraId="014CEAFA" w14:textId="77777777" w:rsidR="000B3DF0" w:rsidRDefault="00000000">
            <w:pPr>
              <w:keepNext/>
              <w:spacing w:line="228" w:lineRule="auto"/>
              <w:jc w:val="center"/>
            </w:pPr>
            <w:r>
              <w:rPr>
                <w:sz w:val="16"/>
                <w:szCs w:val="16"/>
              </w:rPr>
              <w:t>29.0% (3.57x)</w:t>
            </w:r>
          </w:p>
        </w:tc>
        <w:tc>
          <w:tcPr>
            <w:tcW w:w="1780" w:type="dxa"/>
            <w:tcBorders>
              <w:top w:val="single" w:sz="4" w:space="0" w:color="BFBFBF"/>
              <w:left w:val="single" w:sz="4" w:space="0" w:color="BFBFBF"/>
              <w:bottom w:val="single" w:sz="4" w:space="0" w:color="BFBFBF"/>
              <w:right w:val="single" w:sz="4" w:space="0" w:color="BFBFBF"/>
            </w:tcBorders>
            <w:shd w:val="clear" w:color="auto" w:fill="C6EFCE"/>
            <w:tcMar>
              <w:top w:w="20" w:type="dxa"/>
              <w:left w:w="60" w:type="dxa"/>
              <w:bottom w:w="20" w:type="dxa"/>
              <w:right w:w="60" w:type="dxa"/>
            </w:tcMar>
            <w:vAlign w:val="center"/>
          </w:tcPr>
          <w:p w14:paraId="7EDF33C9" w14:textId="77777777" w:rsidR="000B3DF0" w:rsidRDefault="00000000">
            <w:pPr>
              <w:keepNext/>
              <w:spacing w:line="228" w:lineRule="auto"/>
              <w:jc w:val="center"/>
            </w:pPr>
            <w:r>
              <w:rPr>
                <w:sz w:val="16"/>
                <w:szCs w:val="16"/>
              </w:rPr>
              <w:t>32.2% (4.04x)</w:t>
            </w:r>
          </w:p>
        </w:tc>
        <w:tc>
          <w:tcPr>
            <w:tcW w:w="1780" w:type="dxa"/>
            <w:tcBorders>
              <w:top w:val="single" w:sz="4" w:space="0" w:color="BFBFBF"/>
              <w:left w:val="single" w:sz="4" w:space="0" w:color="BFBFBF"/>
              <w:bottom w:val="single" w:sz="4" w:space="0" w:color="BFBFBF"/>
              <w:right w:val="single" w:sz="4" w:space="0" w:color="BFBFBF"/>
            </w:tcBorders>
            <w:shd w:val="clear" w:color="auto" w:fill="C6EFCE"/>
            <w:tcMar>
              <w:top w:w="20" w:type="dxa"/>
              <w:left w:w="60" w:type="dxa"/>
              <w:bottom w:w="20" w:type="dxa"/>
              <w:right w:w="60" w:type="dxa"/>
            </w:tcMar>
            <w:vAlign w:val="center"/>
          </w:tcPr>
          <w:p w14:paraId="53D2A459" w14:textId="77777777" w:rsidR="000B3DF0" w:rsidRDefault="00000000">
            <w:pPr>
              <w:keepNext/>
              <w:spacing w:line="228" w:lineRule="auto"/>
              <w:jc w:val="center"/>
            </w:pPr>
            <w:r>
              <w:rPr>
                <w:sz w:val="16"/>
                <w:szCs w:val="16"/>
              </w:rPr>
              <w:t>35.1% (4.51x)</w:t>
            </w:r>
          </w:p>
        </w:tc>
        <w:tc>
          <w:tcPr>
            <w:tcW w:w="1780" w:type="dxa"/>
            <w:tcBorders>
              <w:top w:val="single" w:sz="4" w:space="0" w:color="BFBFBF"/>
              <w:left w:val="single" w:sz="4" w:space="0" w:color="BFBFBF"/>
              <w:bottom w:val="single" w:sz="4" w:space="0" w:color="BFBFBF"/>
              <w:right w:val="single" w:sz="4" w:space="0" w:color="BFBFBF"/>
            </w:tcBorders>
            <w:shd w:val="clear" w:color="auto" w:fill="C6EFCE"/>
            <w:tcMar>
              <w:top w:w="20" w:type="dxa"/>
              <w:left w:w="60" w:type="dxa"/>
              <w:bottom w:w="20" w:type="dxa"/>
              <w:right w:w="60" w:type="dxa"/>
            </w:tcMar>
            <w:vAlign w:val="center"/>
          </w:tcPr>
          <w:p w14:paraId="52F7D926" w14:textId="77777777" w:rsidR="000B3DF0" w:rsidRDefault="00000000">
            <w:pPr>
              <w:keepNext/>
              <w:spacing w:line="228" w:lineRule="auto"/>
              <w:jc w:val="center"/>
            </w:pPr>
            <w:r>
              <w:rPr>
                <w:sz w:val="16"/>
                <w:szCs w:val="16"/>
              </w:rPr>
              <w:t>37.8% (4.98x)</w:t>
            </w:r>
          </w:p>
        </w:tc>
        <w:tc>
          <w:tcPr>
            <w:tcW w:w="1780" w:type="dxa"/>
            <w:tcBorders>
              <w:top w:val="single" w:sz="4" w:space="0" w:color="BFBFBF"/>
              <w:left w:val="single" w:sz="4" w:space="0" w:color="BFBFBF"/>
              <w:bottom w:val="single" w:sz="4" w:space="0" w:color="BFBFBF"/>
              <w:right w:val="single" w:sz="4" w:space="0" w:color="BFBFBF"/>
            </w:tcBorders>
            <w:shd w:val="clear" w:color="auto" w:fill="C6EFCE"/>
            <w:tcMar>
              <w:top w:w="20" w:type="dxa"/>
              <w:left w:w="60" w:type="dxa"/>
              <w:bottom w:w="20" w:type="dxa"/>
              <w:right w:w="60" w:type="dxa"/>
            </w:tcMar>
            <w:vAlign w:val="center"/>
          </w:tcPr>
          <w:p w14:paraId="09527973" w14:textId="77777777" w:rsidR="000B3DF0" w:rsidRDefault="00000000">
            <w:pPr>
              <w:keepNext/>
              <w:spacing w:line="228" w:lineRule="auto"/>
              <w:jc w:val="center"/>
            </w:pPr>
            <w:r>
              <w:rPr>
                <w:sz w:val="16"/>
                <w:szCs w:val="16"/>
              </w:rPr>
              <w:t>40.4% (5.45x)</w:t>
            </w:r>
          </w:p>
        </w:tc>
      </w:tr>
      <w:tr w:rsidR="000B3DF0" w14:paraId="60DEE346" w14:textId="77777777">
        <w:tc>
          <w:tcPr>
            <w:tcW w:w="1180" w:type="dxa"/>
            <w:tcBorders>
              <w:top w:val="single" w:sz="4" w:space="0" w:color="BFBFBF"/>
              <w:left w:val="single" w:sz="4" w:space="0" w:color="BFBFBF"/>
              <w:bottom w:val="single" w:sz="4" w:space="0" w:color="BFBFBF"/>
              <w:right w:val="single" w:sz="4" w:space="0" w:color="BFBFBF"/>
            </w:tcBorders>
            <w:shd w:val="clear" w:color="auto" w:fill="EEF2F8"/>
            <w:tcMar>
              <w:top w:w="20" w:type="dxa"/>
              <w:left w:w="60" w:type="dxa"/>
              <w:bottom w:w="20" w:type="dxa"/>
              <w:right w:w="60" w:type="dxa"/>
            </w:tcMar>
            <w:vAlign w:val="center"/>
          </w:tcPr>
          <w:p w14:paraId="6202293B" w14:textId="77777777" w:rsidR="000B3DF0" w:rsidRDefault="00000000">
            <w:pPr>
              <w:spacing w:line="228" w:lineRule="auto"/>
            </w:pPr>
            <w:r>
              <w:rPr>
                <w:b/>
                <w:bCs/>
                <w:sz w:val="16"/>
                <w:szCs w:val="16"/>
              </w:rPr>
              <w:t>Entry 6.9x</w:t>
            </w:r>
          </w:p>
        </w:tc>
        <w:tc>
          <w:tcPr>
            <w:tcW w:w="1780" w:type="dxa"/>
            <w:tcBorders>
              <w:top w:val="single" w:sz="4" w:space="0" w:color="BFBFBF"/>
              <w:left w:val="single" w:sz="4" w:space="0" w:color="BFBFBF"/>
              <w:bottom w:val="single" w:sz="4" w:space="0" w:color="BFBFBF"/>
              <w:right w:val="single" w:sz="4" w:space="0" w:color="BFBFBF"/>
            </w:tcBorders>
            <w:shd w:val="clear" w:color="auto" w:fill="C6EFCE"/>
            <w:tcMar>
              <w:top w:w="20" w:type="dxa"/>
              <w:left w:w="60" w:type="dxa"/>
              <w:bottom w:w="20" w:type="dxa"/>
              <w:right w:w="60" w:type="dxa"/>
            </w:tcMar>
            <w:vAlign w:val="center"/>
          </w:tcPr>
          <w:p w14:paraId="07F4B9F1" w14:textId="77777777" w:rsidR="000B3DF0" w:rsidRDefault="00000000">
            <w:pPr>
              <w:spacing w:line="228" w:lineRule="auto"/>
              <w:jc w:val="center"/>
            </w:pPr>
            <w:r>
              <w:rPr>
                <w:sz w:val="16"/>
                <w:szCs w:val="16"/>
              </w:rPr>
              <w:t>37.2% (4.86x)</w:t>
            </w:r>
          </w:p>
        </w:tc>
        <w:tc>
          <w:tcPr>
            <w:tcW w:w="1780" w:type="dxa"/>
            <w:tcBorders>
              <w:top w:val="single" w:sz="4" w:space="0" w:color="BFBFBF"/>
              <w:left w:val="single" w:sz="4" w:space="0" w:color="BFBFBF"/>
              <w:bottom w:val="single" w:sz="4" w:space="0" w:color="BFBFBF"/>
              <w:right w:val="single" w:sz="4" w:space="0" w:color="BFBFBF"/>
            </w:tcBorders>
            <w:shd w:val="clear" w:color="auto" w:fill="C6EFCE"/>
            <w:tcMar>
              <w:top w:w="20" w:type="dxa"/>
              <w:left w:w="60" w:type="dxa"/>
              <w:bottom w:w="20" w:type="dxa"/>
              <w:right w:w="60" w:type="dxa"/>
            </w:tcMar>
            <w:vAlign w:val="center"/>
          </w:tcPr>
          <w:p w14:paraId="528E0F8B" w14:textId="77777777" w:rsidR="000B3DF0" w:rsidRDefault="00000000">
            <w:pPr>
              <w:spacing w:line="228" w:lineRule="auto"/>
              <w:jc w:val="center"/>
            </w:pPr>
            <w:r>
              <w:rPr>
                <w:sz w:val="16"/>
                <w:szCs w:val="16"/>
              </w:rPr>
              <w:t>40.6% (5.50x)</w:t>
            </w:r>
          </w:p>
        </w:tc>
        <w:tc>
          <w:tcPr>
            <w:tcW w:w="1780" w:type="dxa"/>
            <w:tcBorders>
              <w:top w:val="single" w:sz="4" w:space="0" w:color="BFBFBF"/>
              <w:left w:val="single" w:sz="4" w:space="0" w:color="BFBFBF"/>
              <w:bottom w:val="single" w:sz="4" w:space="0" w:color="BFBFBF"/>
              <w:right w:val="single" w:sz="4" w:space="0" w:color="BFBFBF"/>
            </w:tcBorders>
            <w:shd w:val="clear" w:color="auto" w:fill="C6EFCE"/>
            <w:tcMar>
              <w:top w:w="20" w:type="dxa"/>
              <w:left w:w="60" w:type="dxa"/>
              <w:bottom w:w="20" w:type="dxa"/>
              <w:right w:w="60" w:type="dxa"/>
            </w:tcMar>
            <w:vAlign w:val="center"/>
          </w:tcPr>
          <w:p w14:paraId="2EF71BCB" w14:textId="77777777" w:rsidR="000B3DF0" w:rsidRDefault="00000000">
            <w:pPr>
              <w:spacing w:line="228" w:lineRule="auto"/>
              <w:jc w:val="center"/>
            </w:pPr>
            <w:r>
              <w:rPr>
                <w:sz w:val="16"/>
                <w:szCs w:val="16"/>
              </w:rPr>
              <w:t>43.7% (6.14x)</w:t>
            </w:r>
          </w:p>
        </w:tc>
        <w:tc>
          <w:tcPr>
            <w:tcW w:w="1780" w:type="dxa"/>
            <w:tcBorders>
              <w:top w:val="single" w:sz="4" w:space="0" w:color="BFBFBF"/>
              <w:left w:val="single" w:sz="4" w:space="0" w:color="BFBFBF"/>
              <w:bottom w:val="single" w:sz="4" w:space="0" w:color="BFBFBF"/>
              <w:right w:val="single" w:sz="4" w:space="0" w:color="BFBFBF"/>
            </w:tcBorders>
            <w:shd w:val="clear" w:color="auto" w:fill="C6EFCE"/>
            <w:tcMar>
              <w:top w:w="20" w:type="dxa"/>
              <w:left w:w="60" w:type="dxa"/>
              <w:bottom w:w="20" w:type="dxa"/>
              <w:right w:w="60" w:type="dxa"/>
            </w:tcMar>
            <w:vAlign w:val="center"/>
          </w:tcPr>
          <w:p w14:paraId="58F1FB7C" w14:textId="77777777" w:rsidR="000B3DF0" w:rsidRDefault="00000000">
            <w:pPr>
              <w:spacing w:line="228" w:lineRule="auto"/>
              <w:jc w:val="center"/>
            </w:pPr>
            <w:r>
              <w:rPr>
                <w:sz w:val="16"/>
                <w:szCs w:val="16"/>
              </w:rPr>
              <w:t>46.6% (6.78x)</w:t>
            </w:r>
          </w:p>
        </w:tc>
        <w:tc>
          <w:tcPr>
            <w:tcW w:w="1780" w:type="dxa"/>
            <w:tcBorders>
              <w:top w:val="single" w:sz="4" w:space="0" w:color="BFBFBF"/>
              <w:left w:val="single" w:sz="4" w:space="0" w:color="BFBFBF"/>
              <w:bottom w:val="single" w:sz="4" w:space="0" w:color="BFBFBF"/>
              <w:right w:val="single" w:sz="4" w:space="0" w:color="BFBFBF"/>
            </w:tcBorders>
            <w:shd w:val="clear" w:color="auto" w:fill="C6EFCE"/>
            <w:tcMar>
              <w:top w:w="20" w:type="dxa"/>
              <w:left w:w="60" w:type="dxa"/>
              <w:bottom w:w="20" w:type="dxa"/>
              <w:right w:w="60" w:type="dxa"/>
            </w:tcMar>
            <w:vAlign w:val="center"/>
          </w:tcPr>
          <w:p w14:paraId="56499B7D" w14:textId="77777777" w:rsidR="000B3DF0" w:rsidRDefault="00000000">
            <w:pPr>
              <w:spacing w:line="228" w:lineRule="auto"/>
              <w:jc w:val="center"/>
            </w:pPr>
            <w:r>
              <w:rPr>
                <w:sz w:val="16"/>
                <w:szCs w:val="16"/>
              </w:rPr>
              <w:t>49.3% (7.42x)</w:t>
            </w:r>
          </w:p>
        </w:tc>
      </w:tr>
    </w:tbl>
    <w:p w14:paraId="61C1DE9A" w14:textId="77777777" w:rsidR="000B3DF0" w:rsidRDefault="000B3DF0">
      <w:pPr>
        <w:spacing w:after="30" w:line="120" w:lineRule="auto"/>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80"/>
        <w:gridCol w:w="1780"/>
        <w:gridCol w:w="1780"/>
        <w:gridCol w:w="1780"/>
        <w:gridCol w:w="1780"/>
        <w:gridCol w:w="1780"/>
      </w:tblGrid>
      <w:tr w:rsidR="000B3DF0" w14:paraId="4856A54D" w14:textId="77777777">
        <w:tc>
          <w:tcPr>
            <w:tcW w:w="1180" w:type="dxa"/>
            <w:tcBorders>
              <w:top w:val="single" w:sz="4" w:space="0" w:color="BFBFBF"/>
              <w:left w:val="single" w:sz="4" w:space="0" w:color="BFBFBF"/>
              <w:bottom w:val="single" w:sz="4" w:space="0" w:color="BFBFBF"/>
              <w:right w:val="single" w:sz="4" w:space="0" w:color="BFBFBF"/>
            </w:tcBorders>
            <w:shd w:val="clear" w:color="auto" w:fill="1F3864"/>
            <w:tcMar>
              <w:top w:w="20" w:type="dxa"/>
              <w:left w:w="60" w:type="dxa"/>
              <w:bottom w:w="20" w:type="dxa"/>
              <w:right w:w="60" w:type="dxa"/>
            </w:tcMar>
            <w:vAlign w:val="center"/>
          </w:tcPr>
          <w:p w14:paraId="6585A28B" w14:textId="77777777" w:rsidR="000B3DF0" w:rsidRDefault="00000000">
            <w:pPr>
              <w:keepNext/>
              <w:spacing w:line="228" w:lineRule="auto"/>
            </w:pPr>
            <w:r>
              <w:rPr>
                <w:b/>
                <w:bCs/>
                <w:color w:val="FFFFFF"/>
                <w:sz w:val="16"/>
                <w:szCs w:val="16"/>
              </w:rPr>
              <w:t>Bear case</w:t>
            </w:r>
          </w:p>
        </w:tc>
        <w:tc>
          <w:tcPr>
            <w:tcW w:w="1780" w:type="dxa"/>
            <w:tcBorders>
              <w:top w:val="single" w:sz="4" w:space="0" w:color="BFBFBF"/>
              <w:left w:val="single" w:sz="4" w:space="0" w:color="BFBFBF"/>
              <w:bottom w:val="single" w:sz="4" w:space="0" w:color="BFBFBF"/>
              <w:right w:val="single" w:sz="4" w:space="0" w:color="BFBFBF"/>
            </w:tcBorders>
            <w:shd w:val="clear" w:color="auto" w:fill="1F3864"/>
            <w:tcMar>
              <w:top w:w="20" w:type="dxa"/>
              <w:left w:w="60" w:type="dxa"/>
              <w:bottom w:w="20" w:type="dxa"/>
              <w:right w:w="60" w:type="dxa"/>
            </w:tcMar>
            <w:vAlign w:val="center"/>
          </w:tcPr>
          <w:p w14:paraId="52B99E37" w14:textId="77777777" w:rsidR="000B3DF0" w:rsidRDefault="00000000">
            <w:pPr>
              <w:keepNext/>
              <w:spacing w:line="228" w:lineRule="auto"/>
              <w:jc w:val="center"/>
            </w:pPr>
            <w:r>
              <w:rPr>
                <w:b/>
                <w:bCs/>
                <w:color w:val="FFFFFF"/>
                <w:sz w:val="17"/>
                <w:szCs w:val="17"/>
              </w:rPr>
              <w:t>5.63x</w:t>
            </w:r>
          </w:p>
        </w:tc>
        <w:tc>
          <w:tcPr>
            <w:tcW w:w="1780" w:type="dxa"/>
            <w:tcBorders>
              <w:top w:val="single" w:sz="4" w:space="0" w:color="BFBFBF"/>
              <w:left w:val="single" w:sz="4" w:space="0" w:color="BFBFBF"/>
              <w:bottom w:val="single" w:sz="4" w:space="0" w:color="BFBFBF"/>
              <w:right w:val="single" w:sz="4" w:space="0" w:color="BFBFBF"/>
            </w:tcBorders>
            <w:shd w:val="clear" w:color="auto" w:fill="1F3864"/>
            <w:tcMar>
              <w:top w:w="20" w:type="dxa"/>
              <w:left w:w="60" w:type="dxa"/>
              <w:bottom w:w="20" w:type="dxa"/>
              <w:right w:w="60" w:type="dxa"/>
            </w:tcMar>
            <w:vAlign w:val="center"/>
          </w:tcPr>
          <w:p w14:paraId="35F77727" w14:textId="77777777" w:rsidR="000B3DF0" w:rsidRDefault="00000000">
            <w:pPr>
              <w:keepNext/>
              <w:spacing w:line="228" w:lineRule="auto"/>
              <w:jc w:val="center"/>
            </w:pPr>
            <w:r>
              <w:rPr>
                <w:b/>
                <w:bCs/>
                <w:color w:val="FFFFFF"/>
                <w:sz w:val="17"/>
                <w:szCs w:val="17"/>
              </w:rPr>
              <w:t>6.63x</w:t>
            </w:r>
          </w:p>
        </w:tc>
        <w:tc>
          <w:tcPr>
            <w:tcW w:w="1780" w:type="dxa"/>
            <w:tcBorders>
              <w:top w:val="single" w:sz="4" w:space="0" w:color="BFBFBF"/>
              <w:left w:val="single" w:sz="4" w:space="0" w:color="BFBFBF"/>
              <w:bottom w:val="single" w:sz="4" w:space="0" w:color="BFBFBF"/>
              <w:right w:val="single" w:sz="4" w:space="0" w:color="BFBFBF"/>
            </w:tcBorders>
            <w:shd w:val="clear" w:color="auto" w:fill="1F3864"/>
            <w:tcMar>
              <w:top w:w="20" w:type="dxa"/>
              <w:left w:w="60" w:type="dxa"/>
              <w:bottom w:w="20" w:type="dxa"/>
              <w:right w:w="60" w:type="dxa"/>
            </w:tcMar>
            <w:vAlign w:val="center"/>
          </w:tcPr>
          <w:p w14:paraId="71A2DE78" w14:textId="77777777" w:rsidR="000B3DF0" w:rsidRDefault="00000000">
            <w:pPr>
              <w:keepNext/>
              <w:spacing w:line="228" w:lineRule="auto"/>
              <w:jc w:val="center"/>
            </w:pPr>
            <w:r>
              <w:rPr>
                <w:b/>
                <w:bCs/>
                <w:color w:val="FFFFFF"/>
                <w:sz w:val="17"/>
                <w:szCs w:val="17"/>
              </w:rPr>
              <w:t>7.63x</w:t>
            </w:r>
          </w:p>
        </w:tc>
        <w:tc>
          <w:tcPr>
            <w:tcW w:w="1780" w:type="dxa"/>
            <w:tcBorders>
              <w:top w:val="single" w:sz="4" w:space="0" w:color="BFBFBF"/>
              <w:left w:val="single" w:sz="4" w:space="0" w:color="BFBFBF"/>
              <w:bottom w:val="single" w:sz="4" w:space="0" w:color="BFBFBF"/>
              <w:right w:val="single" w:sz="4" w:space="0" w:color="BFBFBF"/>
            </w:tcBorders>
            <w:shd w:val="clear" w:color="auto" w:fill="1F3864"/>
            <w:tcMar>
              <w:top w:w="20" w:type="dxa"/>
              <w:left w:w="60" w:type="dxa"/>
              <w:bottom w:w="20" w:type="dxa"/>
              <w:right w:w="60" w:type="dxa"/>
            </w:tcMar>
            <w:vAlign w:val="center"/>
          </w:tcPr>
          <w:p w14:paraId="103D907E" w14:textId="77777777" w:rsidR="000B3DF0" w:rsidRDefault="00000000">
            <w:pPr>
              <w:keepNext/>
              <w:spacing w:line="228" w:lineRule="auto"/>
              <w:jc w:val="center"/>
            </w:pPr>
            <w:r>
              <w:rPr>
                <w:b/>
                <w:bCs/>
                <w:color w:val="FFFFFF"/>
                <w:sz w:val="17"/>
                <w:szCs w:val="17"/>
              </w:rPr>
              <w:t>8.63x</w:t>
            </w:r>
          </w:p>
        </w:tc>
        <w:tc>
          <w:tcPr>
            <w:tcW w:w="1780" w:type="dxa"/>
            <w:tcBorders>
              <w:top w:val="single" w:sz="4" w:space="0" w:color="BFBFBF"/>
              <w:left w:val="single" w:sz="4" w:space="0" w:color="BFBFBF"/>
              <w:bottom w:val="single" w:sz="4" w:space="0" w:color="BFBFBF"/>
              <w:right w:val="single" w:sz="4" w:space="0" w:color="BFBFBF"/>
            </w:tcBorders>
            <w:shd w:val="clear" w:color="auto" w:fill="1F3864"/>
            <w:tcMar>
              <w:top w:w="20" w:type="dxa"/>
              <w:left w:w="60" w:type="dxa"/>
              <w:bottom w:w="20" w:type="dxa"/>
              <w:right w:w="60" w:type="dxa"/>
            </w:tcMar>
            <w:vAlign w:val="center"/>
          </w:tcPr>
          <w:p w14:paraId="24DCDEA8" w14:textId="77777777" w:rsidR="000B3DF0" w:rsidRDefault="00000000">
            <w:pPr>
              <w:keepNext/>
              <w:spacing w:line="228" w:lineRule="auto"/>
              <w:jc w:val="center"/>
            </w:pPr>
            <w:r>
              <w:rPr>
                <w:b/>
                <w:bCs/>
                <w:color w:val="FFFFFF"/>
                <w:sz w:val="17"/>
                <w:szCs w:val="17"/>
              </w:rPr>
              <w:t>9.63x</w:t>
            </w:r>
          </w:p>
        </w:tc>
      </w:tr>
      <w:tr w:rsidR="000B3DF0" w14:paraId="150243AC" w14:textId="77777777">
        <w:tc>
          <w:tcPr>
            <w:tcW w:w="1180" w:type="dxa"/>
            <w:tcBorders>
              <w:top w:val="single" w:sz="4" w:space="0" w:color="BFBFBF"/>
              <w:left w:val="single" w:sz="4" w:space="0" w:color="BFBFBF"/>
              <w:bottom w:val="single" w:sz="4" w:space="0" w:color="BFBFBF"/>
              <w:right w:val="single" w:sz="4" w:space="0" w:color="BFBFBF"/>
            </w:tcBorders>
            <w:shd w:val="clear" w:color="auto" w:fill="EEF2F8"/>
            <w:tcMar>
              <w:top w:w="20" w:type="dxa"/>
              <w:left w:w="60" w:type="dxa"/>
              <w:bottom w:w="20" w:type="dxa"/>
              <w:right w:w="60" w:type="dxa"/>
            </w:tcMar>
            <w:vAlign w:val="center"/>
          </w:tcPr>
          <w:p w14:paraId="3F1065BF" w14:textId="77777777" w:rsidR="000B3DF0" w:rsidRDefault="00000000">
            <w:pPr>
              <w:keepNext/>
              <w:spacing w:line="228" w:lineRule="auto"/>
            </w:pPr>
            <w:r>
              <w:rPr>
                <w:b/>
                <w:bCs/>
                <w:sz w:val="16"/>
                <w:szCs w:val="16"/>
              </w:rPr>
              <w:t>Entry 10.9x</w:t>
            </w:r>
          </w:p>
        </w:tc>
        <w:tc>
          <w:tcPr>
            <w:tcW w:w="1780" w:type="dxa"/>
            <w:tcBorders>
              <w:top w:val="single" w:sz="4" w:space="0" w:color="BFBFBF"/>
              <w:left w:val="single" w:sz="4" w:space="0" w:color="BFBFBF"/>
              <w:bottom w:val="single" w:sz="4" w:space="0" w:color="BFBFBF"/>
              <w:right w:val="single" w:sz="4" w:space="0" w:color="BFBFBF"/>
            </w:tcBorders>
            <w:shd w:val="clear" w:color="auto" w:fill="FFC7CE"/>
            <w:tcMar>
              <w:top w:w="20" w:type="dxa"/>
              <w:left w:w="60" w:type="dxa"/>
              <w:bottom w:w="20" w:type="dxa"/>
              <w:right w:w="60" w:type="dxa"/>
            </w:tcMar>
            <w:vAlign w:val="center"/>
          </w:tcPr>
          <w:p w14:paraId="731C2401" w14:textId="77777777" w:rsidR="000B3DF0" w:rsidRDefault="00000000">
            <w:pPr>
              <w:keepNext/>
              <w:spacing w:line="228" w:lineRule="auto"/>
              <w:jc w:val="center"/>
            </w:pPr>
            <w:r>
              <w:rPr>
                <w:sz w:val="16"/>
                <w:szCs w:val="16"/>
              </w:rPr>
              <w:t>-3.2% (0.85x)</w:t>
            </w:r>
          </w:p>
        </w:tc>
        <w:tc>
          <w:tcPr>
            <w:tcW w:w="1780" w:type="dxa"/>
            <w:tcBorders>
              <w:top w:val="single" w:sz="4" w:space="0" w:color="BFBFBF"/>
              <w:left w:val="single" w:sz="4" w:space="0" w:color="BFBFBF"/>
              <w:bottom w:val="single" w:sz="4" w:space="0" w:color="BFBFBF"/>
              <w:right w:val="single" w:sz="4" w:space="0" w:color="BFBFBF"/>
            </w:tcBorders>
            <w:shd w:val="clear" w:color="auto" w:fill="FFC7CE"/>
            <w:tcMar>
              <w:top w:w="20" w:type="dxa"/>
              <w:left w:w="60" w:type="dxa"/>
              <w:bottom w:w="20" w:type="dxa"/>
              <w:right w:w="60" w:type="dxa"/>
            </w:tcMar>
            <w:vAlign w:val="center"/>
          </w:tcPr>
          <w:p w14:paraId="199E2F7B" w14:textId="77777777" w:rsidR="000B3DF0" w:rsidRDefault="00000000">
            <w:pPr>
              <w:keepNext/>
              <w:spacing w:line="228" w:lineRule="auto"/>
              <w:jc w:val="center"/>
            </w:pPr>
            <w:r>
              <w:rPr>
                <w:sz w:val="16"/>
                <w:szCs w:val="16"/>
              </w:rPr>
              <w:t>1.0% (1.05x)</w:t>
            </w:r>
          </w:p>
        </w:tc>
        <w:tc>
          <w:tcPr>
            <w:tcW w:w="1780" w:type="dxa"/>
            <w:tcBorders>
              <w:top w:val="single" w:sz="4" w:space="0" w:color="BFBFBF"/>
              <w:left w:val="single" w:sz="4" w:space="0" w:color="BFBFBF"/>
              <w:bottom w:val="single" w:sz="4" w:space="0" w:color="BFBFBF"/>
              <w:right w:val="single" w:sz="4" w:space="0" w:color="BFBFBF"/>
            </w:tcBorders>
            <w:shd w:val="clear" w:color="auto" w:fill="FFC7CE"/>
            <w:tcMar>
              <w:top w:w="20" w:type="dxa"/>
              <w:left w:w="60" w:type="dxa"/>
              <w:bottom w:w="20" w:type="dxa"/>
              <w:right w:w="60" w:type="dxa"/>
            </w:tcMar>
            <w:vAlign w:val="center"/>
          </w:tcPr>
          <w:p w14:paraId="64903190" w14:textId="77777777" w:rsidR="000B3DF0" w:rsidRDefault="00000000">
            <w:pPr>
              <w:keepNext/>
              <w:spacing w:line="228" w:lineRule="auto"/>
              <w:jc w:val="center"/>
            </w:pPr>
            <w:r>
              <w:rPr>
                <w:sz w:val="16"/>
                <w:szCs w:val="16"/>
              </w:rPr>
              <w:t>4.5% (1.25x)</w:t>
            </w:r>
          </w:p>
        </w:tc>
        <w:tc>
          <w:tcPr>
            <w:tcW w:w="1780" w:type="dxa"/>
            <w:tcBorders>
              <w:top w:val="single" w:sz="4" w:space="0" w:color="BFBFBF"/>
              <w:left w:val="single" w:sz="4" w:space="0" w:color="BFBFBF"/>
              <w:bottom w:val="single" w:sz="4" w:space="0" w:color="BFBFBF"/>
              <w:right w:val="single" w:sz="4" w:space="0" w:color="BFBFBF"/>
            </w:tcBorders>
            <w:shd w:val="clear" w:color="auto" w:fill="FFC7CE"/>
            <w:tcMar>
              <w:top w:w="20" w:type="dxa"/>
              <w:left w:w="60" w:type="dxa"/>
              <w:bottom w:w="20" w:type="dxa"/>
              <w:right w:w="60" w:type="dxa"/>
            </w:tcMar>
            <w:vAlign w:val="center"/>
          </w:tcPr>
          <w:p w14:paraId="0ACA3DC7" w14:textId="77777777" w:rsidR="000B3DF0" w:rsidRDefault="00000000">
            <w:pPr>
              <w:keepNext/>
              <w:spacing w:line="228" w:lineRule="auto"/>
              <w:jc w:val="center"/>
            </w:pPr>
            <w:r>
              <w:rPr>
                <w:sz w:val="16"/>
                <w:szCs w:val="16"/>
              </w:rPr>
              <w:t>7.7% (1.45x)</w:t>
            </w:r>
          </w:p>
        </w:tc>
        <w:tc>
          <w:tcPr>
            <w:tcW w:w="1780" w:type="dxa"/>
            <w:tcBorders>
              <w:top w:val="single" w:sz="4" w:space="0" w:color="BFBFBF"/>
              <w:left w:val="single" w:sz="4" w:space="0" w:color="BFBFBF"/>
              <w:bottom w:val="single" w:sz="4" w:space="0" w:color="BFBFBF"/>
              <w:right w:val="single" w:sz="4" w:space="0" w:color="BFBFBF"/>
            </w:tcBorders>
            <w:shd w:val="clear" w:color="auto" w:fill="FFC7CE"/>
            <w:tcMar>
              <w:top w:w="20" w:type="dxa"/>
              <w:left w:w="60" w:type="dxa"/>
              <w:bottom w:w="20" w:type="dxa"/>
              <w:right w:w="60" w:type="dxa"/>
            </w:tcMar>
            <w:vAlign w:val="center"/>
          </w:tcPr>
          <w:p w14:paraId="0BB0B451" w14:textId="77777777" w:rsidR="000B3DF0" w:rsidRDefault="00000000">
            <w:pPr>
              <w:keepNext/>
              <w:spacing w:line="228" w:lineRule="auto"/>
              <w:jc w:val="center"/>
            </w:pPr>
            <w:r>
              <w:rPr>
                <w:sz w:val="16"/>
                <w:szCs w:val="16"/>
              </w:rPr>
              <w:t>10.5% (1.65x)</w:t>
            </w:r>
          </w:p>
        </w:tc>
      </w:tr>
      <w:tr w:rsidR="000B3DF0" w14:paraId="03F6535D" w14:textId="77777777">
        <w:tc>
          <w:tcPr>
            <w:tcW w:w="1180" w:type="dxa"/>
            <w:tcBorders>
              <w:top w:val="single" w:sz="4" w:space="0" w:color="BFBFBF"/>
              <w:left w:val="single" w:sz="4" w:space="0" w:color="BFBFBF"/>
              <w:bottom w:val="single" w:sz="4" w:space="0" w:color="BFBFBF"/>
              <w:right w:val="single" w:sz="4" w:space="0" w:color="BFBFBF"/>
            </w:tcBorders>
            <w:shd w:val="clear" w:color="auto" w:fill="EEF2F8"/>
            <w:tcMar>
              <w:top w:w="20" w:type="dxa"/>
              <w:left w:w="60" w:type="dxa"/>
              <w:bottom w:w="20" w:type="dxa"/>
              <w:right w:w="60" w:type="dxa"/>
            </w:tcMar>
            <w:vAlign w:val="center"/>
          </w:tcPr>
          <w:p w14:paraId="12EAD276" w14:textId="77777777" w:rsidR="000B3DF0" w:rsidRDefault="00000000">
            <w:pPr>
              <w:keepNext/>
              <w:spacing w:line="228" w:lineRule="auto"/>
            </w:pPr>
            <w:r>
              <w:rPr>
                <w:b/>
                <w:bCs/>
                <w:sz w:val="16"/>
                <w:szCs w:val="16"/>
              </w:rPr>
              <w:t>Entry 9.9x</w:t>
            </w:r>
          </w:p>
        </w:tc>
        <w:tc>
          <w:tcPr>
            <w:tcW w:w="1780" w:type="dxa"/>
            <w:tcBorders>
              <w:top w:val="single" w:sz="4" w:space="0" w:color="BFBFBF"/>
              <w:left w:val="single" w:sz="4" w:space="0" w:color="BFBFBF"/>
              <w:bottom w:val="single" w:sz="4" w:space="0" w:color="BFBFBF"/>
              <w:right w:val="single" w:sz="4" w:space="0" w:color="BFBFBF"/>
            </w:tcBorders>
            <w:shd w:val="clear" w:color="auto" w:fill="FFC7CE"/>
            <w:tcMar>
              <w:top w:w="20" w:type="dxa"/>
              <w:left w:w="60" w:type="dxa"/>
              <w:bottom w:w="20" w:type="dxa"/>
              <w:right w:w="60" w:type="dxa"/>
            </w:tcMar>
            <w:vAlign w:val="center"/>
          </w:tcPr>
          <w:p w14:paraId="5598BC74" w14:textId="77777777" w:rsidR="000B3DF0" w:rsidRDefault="00000000">
            <w:pPr>
              <w:keepNext/>
              <w:spacing w:line="228" w:lineRule="auto"/>
              <w:jc w:val="center"/>
            </w:pPr>
            <w:r>
              <w:rPr>
                <w:sz w:val="16"/>
                <w:szCs w:val="16"/>
              </w:rPr>
              <w:t>0.0% (1.00x)</w:t>
            </w:r>
          </w:p>
        </w:tc>
        <w:tc>
          <w:tcPr>
            <w:tcW w:w="1780" w:type="dxa"/>
            <w:tcBorders>
              <w:top w:val="single" w:sz="4" w:space="0" w:color="BFBFBF"/>
              <w:left w:val="single" w:sz="4" w:space="0" w:color="BFBFBF"/>
              <w:bottom w:val="single" w:sz="4" w:space="0" w:color="BFBFBF"/>
              <w:right w:val="single" w:sz="4" w:space="0" w:color="BFBFBF"/>
            </w:tcBorders>
            <w:shd w:val="clear" w:color="auto" w:fill="FFC7CE"/>
            <w:tcMar>
              <w:top w:w="20" w:type="dxa"/>
              <w:left w:w="60" w:type="dxa"/>
              <w:bottom w:w="20" w:type="dxa"/>
              <w:right w:w="60" w:type="dxa"/>
            </w:tcMar>
            <w:vAlign w:val="center"/>
          </w:tcPr>
          <w:p w14:paraId="5F8281D5" w14:textId="77777777" w:rsidR="000B3DF0" w:rsidRDefault="00000000">
            <w:pPr>
              <w:keepNext/>
              <w:spacing w:line="228" w:lineRule="auto"/>
              <w:jc w:val="center"/>
            </w:pPr>
            <w:r>
              <w:rPr>
                <w:sz w:val="16"/>
                <w:szCs w:val="16"/>
              </w:rPr>
              <w:t>4.3% (1.23x)</w:t>
            </w:r>
          </w:p>
        </w:tc>
        <w:tc>
          <w:tcPr>
            <w:tcW w:w="1780" w:type="dxa"/>
            <w:tcBorders>
              <w:top w:val="single" w:sz="4" w:space="0" w:color="BFBFBF"/>
              <w:left w:val="single" w:sz="4" w:space="0" w:color="BFBFBF"/>
              <w:bottom w:val="single" w:sz="4" w:space="0" w:color="BFBFBF"/>
              <w:right w:val="single" w:sz="4" w:space="0" w:color="BFBFBF"/>
            </w:tcBorders>
            <w:shd w:val="clear" w:color="auto" w:fill="FFC7CE"/>
            <w:tcMar>
              <w:top w:w="20" w:type="dxa"/>
              <w:left w:w="60" w:type="dxa"/>
              <w:bottom w:w="20" w:type="dxa"/>
              <w:right w:w="60" w:type="dxa"/>
            </w:tcMar>
            <w:vAlign w:val="center"/>
          </w:tcPr>
          <w:p w14:paraId="2CBBC476" w14:textId="77777777" w:rsidR="000B3DF0" w:rsidRDefault="00000000">
            <w:pPr>
              <w:keepNext/>
              <w:spacing w:line="228" w:lineRule="auto"/>
              <w:jc w:val="center"/>
            </w:pPr>
            <w:r>
              <w:rPr>
                <w:sz w:val="16"/>
                <w:szCs w:val="16"/>
              </w:rPr>
              <w:t>7.9% (1.47x)</w:t>
            </w:r>
          </w:p>
        </w:tc>
        <w:tc>
          <w:tcPr>
            <w:tcW w:w="1780" w:type="dxa"/>
            <w:tcBorders>
              <w:top w:val="single" w:sz="4" w:space="0" w:color="BFBFBF"/>
              <w:left w:val="single" w:sz="4" w:space="0" w:color="BFBFBF"/>
              <w:bottom w:val="single" w:sz="4" w:space="0" w:color="BFBFBF"/>
              <w:right w:val="single" w:sz="4" w:space="0" w:color="BFBFBF"/>
            </w:tcBorders>
            <w:shd w:val="clear" w:color="auto" w:fill="FFC7CE"/>
            <w:tcMar>
              <w:top w:w="20" w:type="dxa"/>
              <w:left w:w="60" w:type="dxa"/>
              <w:bottom w:w="20" w:type="dxa"/>
              <w:right w:w="60" w:type="dxa"/>
            </w:tcMar>
            <w:vAlign w:val="center"/>
          </w:tcPr>
          <w:p w14:paraId="3A6CB4EA" w14:textId="77777777" w:rsidR="000B3DF0" w:rsidRDefault="00000000">
            <w:pPr>
              <w:keepNext/>
              <w:spacing w:line="228" w:lineRule="auto"/>
              <w:jc w:val="center"/>
            </w:pPr>
            <w:r>
              <w:rPr>
                <w:sz w:val="16"/>
                <w:szCs w:val="16"/>
              </w:rPr>
              <w:t>11.2% (1.70x)</w:t>
            </w:r>
          </w:p>
        </w:tc>
        <w:tc>
          <w:tcPr>
            <w:tcW w:w="1780" w:type="dxa"/>
            <w:tcBorders>
              <w:top w:val="single" w:sz="4" w:space="0" w:color="BFBFBF"/>
              <w:left w:val="single" w:sz="4" w:space="0" w:color="BFBFBF"/>
              <w:bottom w:val="single" w:sz="4" w:space="0" w:color="BFBFBF"/>
              <w:right w:val="single" w:sz="4" w:space="0" w:color="BFBFBF"/>
            </w:tcBorders>
            <w:tcMar>
              <w:top w:w="20" w:type="dxa"/>
              <w:left w:w="60" w:type="dxa"/>
              <w:bottom w:w="20" w:type="dxa"/>
              <w:right w:w="60" w:type="dxa"/>
            </w:tcMar>
            <w:vAlign w:val="center"/>
          </w:tcPr>
          <w:p w14:paraId="77654ADF" w14:textId="77777777" w:rsidR="000B3DF0" w:rsidRDefault="00000000">
            <w:pPr>
              <w:keepNext/>
              <w:spacing w:line="228" w:lineRule="auto"/>
              <w:jc w:val="center"/>
            </w:pPr>
            <w:r>
              <w:rPr>
                <w:sz w:val="16"/>
                <w:szCs w:val="16"/>
              </w:rPr>
              <w:t>14.1% (1.93x)</w:t>
            </w:r>
          </w:p>
        </w:tc>
      </w:tr>
      <w:tr w:rsidR="000B3DF0" w14:paraId="1F92B6C6" w14:textId="77777777">
        <w:tc>
          <w:tcPr>
            <w:tcW w:w="1180" w:type="dxa"/>
            <w:tcBorders>
              <w:top w:val="single" w:sz="4" w:space="0" w:color="BFBFBF"/>
              <w:left w:val="single" w:sz="4" w:space="0" w:color="BFBFBF"/>
              <w:bottom w:val="single" w:sz="4" w:space="0" w:color="BFBFBF"/>
              <w:right w:val="single" w:sz="4" w:space="0" w:color="BFBFBF"/>
            </w:tcBorders>
            <w:shd w:val="clear" w:color="auto" w:fill="EEF2F8"/>
            <w:tcMar>
              <w:top w:w="20" w:type="dxa"/>
              <w:left w:w="60" w:type="dxa"/>
              <w:bottom w:w="20" w:type="dxa"/>
              <w:right w:w="60" w:type="dxa"/>
            </w:tcMar>
            <w:vAlign w:val="center"/>
          </w:tcPr>
          <w:p w14:paraId="1BE8BE20" w14:textId="77777777" w:rsidR="000B3DF0" w:rsidRDefault="00000000">
            <w:pPr>
              <w:keepNext/>
              <w:spacing w:line="228" w:lineRule="auto"/>
            </w:pPr>
            <w:r>
              <w:rPr>
                <w:b/>
                <w:bCs/>
                <w:sz w:val="16"/>
                <w:szCs w:val="16"/>
              </w:rPr>
              <w:t>Entry 8.9x</w:t>
            </w:r>
          </w:p>
        </w:tc>
        <w:tc>
          <w:tcPr>
            <w:tcW w:w="1780" w:type="dxa"/>
            <w:tcBorders>
              <w:top w:val="single" w:sz="4" w:space="0" w:color="BFBFBF"/>
              <w:left w:val="single" w:sz="4" w:space="0" w:color="BFBFBF"/>
              <w:bottom w:val="single" w:sz="4" w:space="0" w:color="BFBFBF"/>
              <w:right w:val="single" w:sz="4" w:space="0" w:color="BFBFBF"/>
            </w:tcBorders>
            <w:shd w:val="clear" w:color="auto" w:fill="FFC7CE"/>
            <w:tcMar>
              <w:top w:w="20" w:type="dxa"/>
              <w:left w:w="60" w:type="dxa"/>
              <w:bottom w:w="20" w:type="dxa"/>
              <w:right w:w="60" w:type="dxa"/>
            </w:tcMar>
            <w:vAlign w:val="center"/>
          </w:tcPr>
          <w:p w14:paraId="4AD292F6" w14:textId="77777777" w:rsidR="000B3DF0" w:rsidRDefault="00000000">
            <w:pPr>
              <w:keepNext/>
              <w:spacing w:line="228" w:lineRule="auto"/>
              <w:jc w:val="center"/>
            </w:pPr>
            <w:r>
              <w:rPr>
                <w:sz w:val="16"/>
                <w:szCs w:val="16"/>
              </w:rPr>
              <w:t>3.9% (1.21x)</w:t>
            </w:r>
          </w:p>
        </w:tc>
        <w:tc>
          <w:tcPr>
            <w:tcW w:w="1780" w:type="dxa"/>
            <w:tcBorders>
              <w:top w:val="single" w:sz="4" w:space="0" w:color="BFBFBF"/>
              <w:left w:val="single" w:sz="4" w:space="0" w:color="BFBFBF"/>
              <w:bottom w:val="single" w:sz="4" w:space="0" w:color="BFBFBF"/>
              <w:right w:val="single" w:sz="4" w:space="0" w:color="BFBFBF"/>
            </w:tcBorders>
            <w:shd w:val="clear" w:color="auto" w:fill="FFC7CE"/>
            <w:tcMar>
              <w:top w:w="20" w:type="dxa"/>
              <w:left w:w="60" w:type="dxa"/>
              <w:bottom w:w="20" w:type="dxa"/>
              <w:right w:w="60" w:type="dxa"/>
            </w:tcMar>
            <w:vAlign w:val="center"/>
          </w:tcPr>
          <w:p w14:paraId="0B5CD032" w14:textId="77777777" w:rsidR="000B3DF0" w:rsidRDefault="00000000">
            <w:pPr>
              <w:keepNext/>
              <w:spacing w:line="228" w:lineRule="auto"/>
              <w:jc w:val="center"/>
            </w:pPr>
            <w:r>
              <w:rPr>
                <w:sz w:val="16"/>
                <w:szCs w:val="16"/>
              </w:rPr>
              <w:t>8.3% (1.49x)</w:t>
            </w:r>
          </w:p>
        </w:tc>
        <w:tc>
          <w:tcPr>
            <w:tcW w:w="1780" w:type="dxa"/>
            <w:tcBorders>
              <w:top w:val="single" w:sz="4" w:space="0" w:color="BFBFBF"/>
              <w:left w:val="single" w:sz="4" w:space="0" w:color="BFBFBF"/>
              <w:bottom w:val="single" w:sz="4" w:space="0" w:color="BFBFBF"/>
              <w:right w:val="single" w:sz="4" w:space="0" w:color="BFBFBF"/>
            </w:tcBorders>
            <w:tcMar>
              <w:top w:w="20" w:type="dxa"/>
              <w:left w:w="60" w:type="dxa"/>
              <w:bottom w:w="20" w:type="dxa"/>
              <w:right w:w="60" w:type="dxa"/>
            </w:tcMar>
            <w:vAlign w:val="center"/>
          </w:tcPr>
          <w:p w14:paraId="02ABC611" w14:textId="77777777" w:rsidR="000B3DF0" w:rsidRDefault="00000000">
            <w:pPr>
              <w:keepNext/>
              <w:spacing w:line="228" w:lineRule="auto"/>
              <w:jc w:val="center"/>
            </w:pPr>
            <w:r>
              <w:rPr>
                <w:b/>
                <w:bCs/>
                <w:sz w:val="16"/>
                <w:szCs w:val="16"/>
              </w:rPr>
              <w:t>12.1% (1.77x)</w:t>
            </w:r>
          </w:p>
        </w:tc>
        <w:tc>
          <w:tcPr>
            <w:tcW w:w="1780" w:type="dxa"/>
            <w:tcBorders>
              <w:top w:val="single" w:sz="4" w:space="0" w:color="BFBFBF"/>
              <w:left w:val="single" w:sz="4" w:space="0" w:color="BFBFBF"/>
              <w:bottom w:val="single" w:sz="4" w:space="0" w:color="BFBFBF"/>
              <w:right w:val="single" w:sz="4" w:space="0" w:color="BFBFBF"/>
            </w:tcBorders>
            <w:tcMar>
              <w:top w:w="20" w:type="dxa"/>
              <w:left w:w="60" w:type="dxa"/>
              <w:bottom w:w="20" w:type="dxa"/>
              <w:right w:w="60" w:type="dxa"/>
            </w:tcMar>
            <w:vAlign w:val="center"/>
          </w:tcPr>
          <w:p w14:paraId="12DA1A9F" w14:textId="77777777" w:rsidR="000B3DF0" w:rsidRDefault="00000000">
            <w:pPr>
              <w:keepNext/>
              <w:spacing w:line="228" w:lineRule="auto"/>
              <w:jc w:val="center"/>
            </w:pPr>
            <w:r>
              <w:rPr>
                <w:sz w:val="16"/>
                <w:szCs w:val="16"/>
              </w:rPr>
              <w:t>15.5% (2.06x)</w:t>
            </w:r>
          </w:p>
        </w:tc>
        <w:tc>
          <w:tcPr>
            <w:tcW w:w="1780" w:type="dxa"/>
            <w:tcBorders>
              <w:top w:val="single" w:sz="4" w:space="0" w:color="BFBFBF"/>
              <w:left w:val="single" w:sz="4" w:space="0" w:color="BFBFBF"/>
              <w:bottom w:val="single" w:sz="4" w:space="0" w:color="BFBFBF"/>
              <w:right w:val="single" w:sz="4" w:space="0" w:color="BFBFBF"/>
            </w:tcBorders>
            <w:tcMar>
              <w:top w:w="20" w:type="dxa"/>
              <w:left w:w="60" w:type="dxa"/>
              <w:bottom w:w="20" w:type="dxa"/>
              <w:right w:w="60" w:type="dxa"/>
            </w:tcMar>
            <w:vAlign w:val="center"/>
          </w:tcPr>
          <w:p w14:paraId="543C1231" w14:textId="77777777" w:rsidR="000B3DF0" w:rsidRDefault="00000000">
            <w:pPr>
              <w:keepNext/>
              <w:spacing w:line="228" w:lineRule="auto"/>
              <w:jc w:val="center"/>
            </w:pPr>
            <w:r>
              <w:rPr>
                <w:sz w:val="16"/>
                <w:szCs w:val="16"/>
              </w:rPr>
              <w:t>18.5% (2.34x)</w:t>
            </w:r>
          </w:p>
        </w:tc>
      </w:tr>
      <w:tr w:rsidR="000B3DF0" w14:paraId="3FE645DC" w14:textId="77777777">
        <w:tc>
          <w:tcPr>
            <w:tcW w:w="1180" w:type="dxa"/>
            <w:tcBorders>
              <w:top w:val="single" w:sz="4" w:space="0" w:color="BFBFBF"/>
              <w:left w:val="single" w:sz="4" w:space="0" w:color="BFBFBF"/>
              <w:bottom w:val="single" w:sz="4" w:space="0" w:color="BFBFBF"/>
              <w:right w:val="single" w:sz="4" w:space="0" w:color="BFBFBF"/>
            </w:tcBorders>
            <w:shd w:val="clear" w:color="auto" w:fill="EEF2F8"/>
            <w:tcMar>
              <w:top w:w="20" w:type="dxa"/>
              <w:left w:w="60" w:type="dxa"/>
              <w:bottom w:w="20" w:type="dxa"/>
              <w:right w:w="60" w:type="dxa"/>
            </w:tcMar>
            <w:vAlign w:val="center"/>
          </w:tcPr>
          <w:p w14:paraId="5A7A7CA8" w14:textId="77777777" w:rsidR="000B3DF0" w:rsidRDefault="00000000">
            <w:pPr>
              <w:keepNext/>
              <w:spacing w:line="228" w:lineRule="auto"/>
            </w:pPr>
            <w:r>
              <w:rPr>
                <w:b/>
                <w:bCs/>
                <w:sz w:val="16"/>
                <w:szCs w:val="16"/>
              </w:rPr>
              <w:t>Entry 7.9x</w:t>
            </w:r>
          </w:p>
        </w:tc>
        <w:tc>
          <w:tcPr>
            <w:tcW w:w="1780" w:type="dxa"/>
            <w:tcBorders>
              <w:top w:val="single" w:sz="4" w:space="0" w:color="BFBFBF"/>
              <w:left w:val="single" w:sz="4" w:space="0" w:color="BFBFBF"/>
              <w:bottom w:val="single" w:sz="4" w:space="0" w:color="BFBFBF"/>
              <w:right w:val="single" w:sz="4" w:space="0" w:color="BFBFBF"/>
            </w:tcBorders>
            <w:shd w:val="clear" w:color="auto" w:fill="FFC7CE"/>
            <w:tcMar>
              <w:top w:w="20" w:type="dxa"/>
              <w:left w:w="60" w:type="dxa"/>
              <w:bottom w:w="20" w:type="dxa"/>
              <w:right w:w="60" w:type="dxa"/>
            </w:tcMar>
            <w:vAlign w:val="center"/>
          </w:tcPr>
          <w:p w14:paraId="280D11C0" w14:textId="77777777" w:rsidR="000B3DF0" w:rsidRDefault="00000000">
            <w:pPr>
              <w:keepNext/>
              <w:spacing w:line="228" w:lineRule="auto"/>
              <w:jc w:val="center"/>
            </w:pPr>
            <w:r>
              <w:rPr>
                <w:sz w:val="16"/>
                <w:szCs w:val="16"/>
              </w:rPr>
              <w:t>8.9% (1.53x)</w:t>
            </w:r>
          </w:p>
        </w:tc>
        <w:tc>
          <w:tcPr>
            <w:tcW w:w="1780" w:type="dxa"/>
            <w:tcBorders>
              <w:top w:val="single" w:sz="4" w:space="0" w:color="BFBFBF"/>
              <w:left w:val="single" w:sz="4" w:space="0" w:color="BFBFBF"/>
              <w:bottom w:val="single" w:sz="4" w:space="0" w:color="BFBFBF"/>
              <w:right w:val="single" w:sz="4" w:space="0" w:color="BFBFBF"/>
            </w:tcBorders>
            <w:tcMar>
              <w:top w:w="20" w:type="dxa"/>
              <w:left w:w="60" w:type="dxa"/>
              <w:bottom w:w="20" w:type="dxa"/>
              <w:right w:w="60" w:type="dxa"/>
            </w:tcMar>
            <w:vAlign w:val="center"/>
          </w:tcPr>
          <w:p w14:paraId="186EA8A0" w14:textId="77777777" w:rsidR="000B3DF0" w:rsidRDefault="00000000">
            <w:pPr>
              <w:keepNext/>
              <w:spacing w:line="228" w:lineRule="auto"/>
              <w:jc w:val="center"/>
            </w:pPr>
            <w:r>
              <w:rPr>
                <w:sz w:val="16"/>
                <w:szCs w:val="16"/>
              </w:rPr>
              <w:t>13.5% (1.89x)</w:t>
            </w:r>
          </w:p>
        </w:tc>
        <w:tc>
          <w:tcPr>
            <w:tcW w:w="1780" w:type="dxa"/>
            <w:tcBorders>
              <w:top w:val="single" w:sz="4" w:space="0" w:color="BFBFBF"/>
              <w:left w:val="single" w:sz="4" w:space="0" w:color="BFBFBF"/>
              <w:bottom w:val="single" w:sz="4" w:space="0" w:color="BFBFBF"/>
              <w:right w:val="single" w:sz="4" w:space="0" w:color="BFBFBF"/>
            </w:tcBorders>
            <w:tcMar>
              <w:top w:w="20" w:type="dxa"/>
              <w:left w:w="60" w:type="dxa"/>
              <w:bottom w:w="20" w:type="dxa"/>
              <w:right w:w="60" w:type="dxa"/>
            </w:tcMar>
            <w:vAlign w:val="center"/>
          </w:tcPr>
          <w:p w14:paraId="6847CC9A" w14:textId="77777777" w:rsidR="000B3DF0" w:rsidRDefault="00000000">
            <w:pPr>
              <w:keepNext/>
              <w:spacing w:line="228" w:lineRule="auto"/>
              <w:jc w:val="center"/>
            </w:pPr>
            <w:r>
              <w:rPr>
                <w:sz w:val="16"/>
                <w:szCs w:val="16"/>
              </w:rPr>
              <w:t>17.6% (2.24x)</w:t>
            </w:r>
          </w:p>
        </w:tc>
        <w:tc>
          <w:tcPr>
            <w:tcW w:w="1780" w:type="dxa"/>
            <w:tcBorders>
              <w:top w:val="single" w:sz="4" w:space="0" w:color="BFBFBF"/>
              <w:left w:val="single" w:sz="4" w:space="0" w:color="BFBFBF"/>
              <w:bottom w:val="single" w:sz="4" w:space="0" w:color="BFBFBF"/>
              <w:right w:val="single" w:sz="4" w:space="0" w:color="BFBFBF"/>
            </w:tcBorders>
            <w:shd w:val="clear" w:color="auto" w:fill="C6EFCE"/>
            <w:tcMar>
              <w:top w:w="20" w:type="dxa"/>
              <w:left w:w="60" w:type="dxa"/>
              <w:bottom w:w="20" w:type="dxa"/>
              <w:right w:w="60" w:type="dxa"/>
            </w:tcMar>
            <w:vAlign w:val="center"/>
          </w:tcPr>
          <w:p w14:paraId="25811EEB" w14:textId="77777777" w:rsidR="000B3DF0" w:rsidRDefault="00000000">
            <w:pPr>
              <w:keepNext/>
              <w:spacing w:line="228" w:lineRule="auto"/>
              <w:jc w:val="center"/>
            </w:pPr>
            <w:r>
              <w:rPr>
                <w:sz w:val="16"/>
                <w:szCs w:val="16"/>
              </w:rPr>
              <w:t>21.1% (2.60x)</w:t>
            </w:r>
          </w:p>
        </w:tc>
        <w:tc>
          <w:tcPr>
            <w:tcW w:w="1780" w:type="dxa"/>
            <w:tcBorders>
              <w:top w:val="single" w:sz="4" w:space="0" w:color="BFBFBF"/>
              <w:left w:val="single" w:sz="4" w:space="0" w:color="BFBFBF"/>
              <w:bottom w:val="single" w:sz="4" w:space="0" w:color="BFBFBF"/>
              <w:right w:val="single" w:sz="4" w:space="0" w:color="BFBFBF"/>
            </w:tcBorders>
            <w:shd w:val="clear" w:color="auto" w:fill="C6EFCE"/>
            <w:tcMar>
              <w:top w:w="20" w:type="dxa"/>
              <w:left w:w="60" w:type="dxa"/>
              <w:bottom w:w="20" w:type="dxa"/>
              <w:right w:w="60" w:type="dxa"/>
            </w:tcMar>
            <w:vAlign w:val="center"/>
          </w:tcPr>
          <w:p w14:paraId="658BD138" w14:textId="77777777" w:rsidR="000B3DF0" w:rsidRDefault="00000000">
            <w:pPr>
              <w:keepNext/>
              <w:spacing w:line="228" w:lineRule="auto"/>
              <w:jc w:val="center"/>
            </w:pPr>
            <w:r>
              <w:rPr>
                <w:sz w:val="16"/>
                <w:szCs w:val="16"/>
              </w:rPr>
              <w:t>24.2% (2.96x)</w:t>
            </w:r>
          </w:p>
        </w:tc>
      </w:tr>
      <w:tr w:rsidR="000B3DF0" w14:paraId="7E4B5731" w14:textId="77777777">
        <w:tc>
          <w:tcPr>
            <w:tcW w:w="1180" w:type="dxa"/>
            <w:tcBorders>
              <w:top w:val="single" w:sz="4" w:space="0" w:color="BFBFBF"/>
              <w:left w:val="single" w:sz="4" w:space="0" w:color="BFBFBF"/>
              <w:bottom w:val="single" w:sz="4" w:space="0" w:color="BFBFBF"/>
              <w:right w:val="single" w:sz="4" w:space="0" w:color="BFBFBF"/>
            </w:tcBorders>
            <w:shd w:val="clear" w:color="auto" w:fill="EEF2F8"/>
            <w:tcMar>
              <w:top w:w="20" w:type="dxa"/>
              <w:left w:w="60" w:type="dxa"/>
              <w:bottom w:w="20" w:type="dxa"/>
              <w:right w:w="60" w:type="dxa"/>
            </w:tcMar>
            <w:vAlign w:val="center"/>
          </w:tcPr>
          <w:p w14:paraId="0012CDB6" w14:textId="77777777" w:rsidR="000B3DF0" w:rsidRDefault="00000000">
            <w:pPr>
              <w:spacing w:line="228" w:lineRule="auto"/>
            </w:pPr>
            <w:r>
              <w:rPr>
                <w:b/>
                <w:bCs/>
                <w:sz w:val="16"/>
                <w:szCs w:val="16"/>
              </w:rPr>
              <w:t>Entry 6.9x</w:t>
            </w:r>
          </w:p>
        </w:tc>
        <w:tc>
          <w:tcPr>
            <w:tcW w:w="1780" w:type="dxa"/>
            <w:tcBorders>
              <w:top w:val="single" w:sz="4" w:space="0" w:color="BFBFBF"/>
              <w:left w:val="single" w:sz="4" w:space="0" w:color="BFBFBF"/>
              <w:bottom w:val="single" w:sz="4" w:space="0" w:color="BFBFBF"/>
              <w:right w:val="single" w:sz="4" w:space="0" w:color="BFBFBF"/>
            </w:tcBorders>
            <w:tcMar>
              <w:top w:w="20" w:type="dxa"/>
              <w:left w:w="60" w:type="dxa"/>
              <w:bottom w:w="20" w:type="dxa"/>
              <w:right w:w="60" w:type="dxa"/>
            </w:tcMar>
            <w:vAlign w:val="center"/>
          </w:tcPr>
          <w:p w14:paraId="6C6A68DA" w14:textId="77777777" w:rsidR="000B3DF0" w:rsidRDefault="00000000">
            <w:pPr>
              <w:spacing w:line="228" w:lineRule="auto"/>
              <w:jc w:val="center"/>
            </w:pPr>
            <w:r>
              <w:rPr>
                <w:sz w:val="16"/>
                <w:szCs w:val="16"/>
              </w:rPr>
              <w:t>15.8% (2.08x)</w:t>
            </w:r>
          </w:p>
        </w:tc>
        <w:tc>
          <w:tcPr>
            <w:tcW w:w="1780" w:type="dxa"/>
            <w:tcBorders>
              <w:top w:val="single" w:sz="4" w:space="0" w:color="BFBFBF"/>
              <w:left w:val="single" w:sz="4" w:space="0" w:color="BFBFBF"/>
              <w:bottom w:val="single" w:sz="4" w:space="0" w:color="BFBFBF"/>
              <w:right w:val="single" w:sz="4" w:space="0" w:color="BFBFBF"/>
            </w:tcBorders>
            <w:shd w:val="clear" w:color="auto" w:fill="C6EFCE"/>
            <w:tcMar>
              <w:top w:w="20" w:type="dxa"/>
              <w:left w:w="60" w:type="dxa"/>
              <w:bottom w:w="20" w:type="dxa"/>
              <w:right w:w="60" w:type="dxa"/>
            </w:tcMar>
            <w:vAlign w:val="center"/>
          </w:tcPr>
          <w:p w14:paraId="494553B4" w14:textId="77777777" w:rsidR="000B3DF0" w:rsidRDefault="00000000">
            <w:pPr>
              <w:spacing w:line="228" w:lineRule="auto"/>
              <w:jc w:val="center"/>
            </w:pPr>
            <w:r>
              <w:rPr>
                <w:sz w:val="16"/>
                <w:szCs w:val="16"/>
              </w:rPr>
              <w:t>20.8% (2.57x)</w:t>
            </w:r>
          </w:p>
        </w:tc>
        <w:tc>
          <w:tcPr>
            <w:tcW w:w="1780" w:type="dxa"/>
            <w:tcBorders>
              <w:top w:val="single" w:sz="4" w:space="0" w:color="BFBFBF"/>
              <w:left w:val="single" w:sz="4" w:space="0" w:color="BFBFBF"/>
              <w:bottom w:val="single" w:sz="4" w:space="0" w:color="BFBFBF"/>
              <w:right w:val="single" w:sz="4" w:space="0" w:color="BFBFBF"/>
            </w:tcBorders>
            <w:shd w:val="clear" w:color="auto" w:fill="C6EFCE"/>
            <w:tcMar>
              <w:top w:w="20" w:type="dxa"/>
              <w:left w:w="60" w:type="dxa"/>
              <w:bottom w:w="20" w:type="dxa"/>
              <w:right w:w="60" w:type="dxa"/>
            </w:tcMar>
            <w:vAlign w:val="center"/>
          </w:tcPr>
          <w:p w14:paraId="03A90639" w14:textId="77777777" w:rsidR="000B3DF0" w:rsidRDefault="00000000">
            <w:pPr>
              <w:spacing w:line="228" w:lineRule="auto"/>
              <w:jc w:val="center"/>
            </w:pPr>
            <w:r>
              <w:rPr>
                <w:sz w:val="16"/>
                <w:szCs w:val="16"/>
              </w:rPr>
              <w:t>25.0% (3.06x)</w:t>
            </w:r>
          </w:p>
        </w:tc>
        <w:tc>
          <w:tcPr>
            <w:tcW w:w="1780" w:type="dxa"/>
            <w:tcBorders>
              <w:top w:val="single" w:sz="4" w:space="0" w:color="BFBFBF"/>
              <w:left w:val="single" w:sz="4" w:space="0" w:color="BFBFBF"/>
              <w:bottom w:val="single" w:sz="4" w:space="0" w:color="BFBFBF"/>
              <w:right w:val="single" w:sz="4" w:space="0" w:color="BFBFBF"/>
            </w:tcBorders>
            <w:shd w:val="clear" w:color="auto" w:fill="C6EFCE"/>
            <w:tcMar>
              <w:top w:w="20" w:type="dxa"/>
              <w:left w:w="60" w:type="dxa"/>
              <w:bottom w:w="20" w:type="dxa"/>
              <w:right w:w="60" w:type="dxa"/>
            </w:tcMar>
            <w:vAlign w:val="center"/>
          </w:tcPr>
          <w:p w14:paraId="0660666B" w14:textId="77777777" w:rsidR="000B3DF0" w:rsidRDefault="00000000">
            <w:pPr>
              <w:spacing w:line="228" w:lineRule="auto"/>
              <w:jc w:val="center"/>
            </w:pPr>
            <w:r>
              <w:rPr>
                <w:sz w:val="16"/>
                <w:szCs w:val="16"/>
              </w:rPr>
              <w:t>28.8% (3.54x)</w:t>
            </w:r>
          </w:p>
        </w:tc>
        <w:tc>
          <w:tcPr>
            <w:tcW w:w="1780" w:type="dxa"/>
            <w:tcBorders>
              <w:top w:val="single" w:sz="4" w:space="0" w:color="BFBFBF"/>
              <w:left w:val="single" w:sz="4" w:space="0" w:color="BFBFBF"/>
              <w:bottom w:val="single" w:sz="4" w:space="0" w:color="BFBFBF"/>
              <w:right w:val="single" w:sz="4" w:space="0" w:color="BFBFBF"/>
            </w:tcBorders>
            <w:shd w:val="clear" w:color="auto" w:fill="C6EFCE"/>
            <w:tcMar>
              <w:top w:w="20" w:type="dxa"/>
              <w:left w:w="60" w:type="dxa"/>
              <w:bottom w:w="20" w:type="dxa"/>
              <w:right w:w="60" w:type="dxa"/>
            </w:tcMar>
            <w:vAlign w:val="center"/>
          </w:tcPr>
          <w:p w14:paraId="3B45C2B4" w14:textId="77777777" w:rsidR="000B3DF0" w:rsidRDefault="00000000">
            <w:pPr>
              <w:spacing w:line="228" w:lineRule="auto"/>
              <w:jc w:val="center"/>
            </w:pPr>
            <w:r>
              <w:rPr>
                <w:sz w:val="16"/>
                <w:szCs w:val="16"/>
              </w:rPr>
              <w:t>32.1% (4.03x)</w:t>
            </w:r>
          </w:p>
        </w:tc>
      </w:tr>
    </w:tbl>
    <w:p w14:paraId="2B5CF0E8" w14:textId="77777777" w:rsidR="000B3DF0" w:rsidRDefault="000B3DF0">
      <w:pPr>
        <w:spacing w:after="30" w:line="120" w:lineRule="auto"/>
      </w:pPr>
    </w:p>
    <w:p w14:paraId="2792C2BC" w14:textId="77777777" w:rsidR="000B3DF0" w:rsidRDefault="00000000">
      <w:pPr>
        <w:keepNext/>
        <w:spacing w:after="40" w:line="252" w:lineRule="auto"/>
      </w:pPr>
      <w:r>
        <w:rPr>
          <w:sz w:val="20"/>
          <w:szCs w:val="20"/>
        </w:rPr>
        <w:t>Sponsor IRR (MOIC) by exit year, at each case's own exit multiple and entry at 8.9x.</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1446"/>
        <w:gridCol w:w="1446"/>
        <w:gridCol w:w="1446"/>
        <w:gridCol w:w="1446"/>
        <w:gridCol w:w="1446"/>
        <w:gridCol w:w="1450"/>
      </w:tblGrid>
      <w:tr w:rsidR="000B3DF0" w14:paraId="21E71CA7" w14:textId="77777777">
        <w:tc>
          <w:tcPr>
            <w:tcW w:w="1400" w:type="dxa"/>
            <w:tcBorders>
              <w:top w:val="single" w:sz="4" w:space="0" w:color="BFBFBF"/>
              <w:left w:val="single" w:sz="4" w:space="0" w:color="BFBFBF"/>
              <w:bottom w:val="single" w:sz="4" w:space="0" w:color="BFBFBF"/>
              <w:right w:val="single" w:sz="4" w:space="0" w:color="BFBFBF"/>
            </w:tcBorders>
            <w:shd w:val="clear" w:color="auto" w:fill="1F3864"/>
            <w:tcMar>
              <w:top w:w="20" w:type="dxa"/>
              <w:left w:w="60" w:type="dxa"/>
              <w:bottom w:w="20" w:type="dxa"/>
              <w:right w:w="60" w:type="dxa"/>
            </w:tcMar>
            <w:vAlign w:val="center"/>
          </w:tcPr>
          <w:p w14:paraId="44456097" w14:textId="77777777" w:rsidR="000B3DF0" w:rsidRDefault="00000000">
            <w:pPr>
              <w:spacing w:line="228" w:lineRule="auto"/>
              <w:jc w:val="center"/>
            </w:pPr>
            <w:r>
              <w:rPr>
                <w:b/>
                <w:bCs/>
                <w:color w:val="FFFFFF"/>
                <w:sz w:val="17"/>
                <w:szCs w:val="17"/>
              </w:rPr>
              <w:t>Exit year (hold)</w:t>
            </w:r>
          </w:p>
        </w:tc>
        <w:tc>
          <w:tcPr>
            <w:tcW w:w="1446" w:type="dxa"/>
            <w:tcBorders>
              <w:top w:val="single" w:sz="4" w:space="0" w:color="BFBFBF"/>
              <w:left w:val="single" w:sz="4" w:space="0" w:color="BFBFBF"/>
              <w:bottom w:val="single" w:sz="4" w:space="0" w:color="BFBFBF"/>
              <w:right w:val="single" w:sz="4" w:space="0" w:color="BFBFBF"/>
            </w:tcBorders>
            <w:shd w:val="clear" w:color="auto" w:fill="1F3864"/>
            <w:tcMar>
              <w:top w:w="20" w:type="dxa"/>
              <w:left w:w="60" w:type="dxa"/>
              <w:bottom w:w="20" w:type="dxa"/>
              <w:right w:w="60" w:type="dxa"/>
            </w:tcMar>
            <w:vAlign w:val="center"/>
          </w:tcPr>
          <w:p w14:paraId="349766D5" w14:textId="77777777" w:rsidR="000B3DF0" w:rsidRDefault="00000000">
            <w:pPr>
              <w:spacing w:line="228" w:lineRule="auto"/>
              <w:jc w:val="center"/>
            </w:pPr>
            <w:r>
              <w:rPr>
                <w:b/>
                <w:bCs/>
                <w:color w:val="FFFFFF"/>
                <w:sz w:val="17"/>
                <w:szCs w:val="17"/>
              </w:rPr>
              <w:t>Base IRR</w:t>
            </w:r>
          </w:p>
        </w:tc>
        <w:tc>
          <w:tcPr>
            <w:tcW w:w="1446" w:type="dxa"/>
            <w:tcBorders>
              <w:top w:val="single" w:sz="4" w:space="0" w:color="BFBFBF"/>
              <w:left w:val="single" w:sz="4" w:space="0" w:color="BFBFBF"/>
              <w:bottom w:val="single" w:sz="4" w:space="0" w:color="BFBFBF"/>
              <w:right w:val="single" w:sz="4" w:space="0" w:color="BFBFBF"/>
            </w:tcBorders>
            <w:shd w:val="clear" w:color="auto" w:fill="1F3864"/>
            <w:tcMar>
              <w:top w:w="20" w:type="dxa"/>
              <w:left w:w="60" w:type="dxa"/>
              <w:bottom w:w="20" w:type="dxa"/>
              <w:right w:w="60" w:type="dxa"/>
            </w:tcMar>
            <w:vAlign w:val="center"/>
          </w:tcPr>
          <w:p w14:paraId="2F50DB63" w14:textId="77777777" w:rsidR="000B3DF0" w:rsidRDefault="00000000">
            <w:pPr>
              <w:spacing w:line="228" w:lineRule="auto"/>
              <w:jc w:val="center"/>
            </w:pPr>
            <w:r>
              <w:rPr>
                <w:b/>
                <w:bCs/>
                <w:color w:val="FFFFFF"/>
                <w:sz w:val="17"/>
                <w:szCs w:val="17"/>
              </w:rPr>
              <w:t>Base MOIC</w:t>
            </w:r>
          </w:p>
        </w:tc>
        <w:tc>
          <w:tcPr>
            <w:tcW w:w="1446" w:type="dxa"/>
            <w:tcBorders>
              <w:top w:val="single" w:sz="4" w:space="0" w:color="BFBFBF"/>
              <w:left w:val="single" w:sz="4" w:space="0" w:color="BFBFBF"/>
              <w:bottom w:val="single" w:sz="4" w:space="0" w:color="BFBFBF"/>
              <w:right w:val="single" w:sz="4" w:space="0" w:color="BFBFBF"/>
            </w:tcBorders>
            <w:shd w:val="clear" w:color="auto" w:fill="1F3864"/>
            <w:tcMar>
              <w:top w:w="20" w:type="dxa"/>
              <w:left w:w="60" w:type="dxa"/>
              <w:bottom w:w="20" w:type="dxa"/>
              <w:right w:w="60" w:type="dxa"/>
            </w:tcMar>
            <w:vAlign w:val="center"/>
          </w:tcPr>
          <w:p w14:paraId="4BFD2EEB" w14:textId="77777777" w:rsidR="000B3DF0" w:rsidRDefault="00000000">
            <w:pPr>
              <w:spacing w:line="228" w:lineRule="auto"/>
              <w:jc w:val="center"/>
            </w:pPr>
            <w:r>
              <w:rPr>
                <w:b/>
                <w:bCs/>
                <w:color w:val="FFFFFF"/>
                <w:sz w:val="17"/>
                <w:szCs w:val="17"/>
              </w:rPr>
              <w:t>Bull IRR</w:t>
            </w:r>
          </w:p>
        </w:tc>
        <w:tc>
          <w:tcPr>
            <w:tcW w:w="1446" w:type="dxa"/>
            <w:tcBorders>
              <w:top w:val="single" w:sz="4" w:space="0" w:color="BFBFBF"/>
              <w:left w:val="single" w:sz="4" w:space="0" w:color="BFBFBF"/>
              <w:bottom w:val="single" w:sz="4" w:space="0" w:color="BFBFBF"/>
              <w:right w:val="single" w:sz="4" w:space="0" w:color="BFBFBF"/>
            </w:tcBorders>
            <w:shd w:val="clear" w:color="auto" w:fill="1F3864"/>
            <w:tcMar>
              <w:top w:w="20" w:type="dxa"/>
              <w:left w:w="60" w:type="dxa"/>
              <w:bottom w:w="20" w:type="dxa"/>
              <w:right w:w="60" w:type="dxa"/>
            </w:tcMar>
            <w:vAlign w:val="center"/>
          </w:tcPr>
          <w:p w14:paraId="4AFDD1ED" w14:textId="77777777" w:rsidR="000B3DF0" w:rsidRDefault="00000000">
            <w:pPr>
              <w:spacing w:line="228" w:lineRule="auto"/>
              <w:jc w:val="center"/>
            </w:pPr>
            <w:r>
              <w:rPr>
                <w:b/>
                <w:bCs/>
                <w:color w:val="FFFFFF"/>
                <w:sz w:val="17"/>
                <w:szCs w:val="17"/>
              </w:rPr>
              <w:t>Bull MOIC</w:t>
            </w:r>
          </w:p>
        </w:tc>
        <w:tc>
          <w:tcPr>
            <w:tcW w:w="1446" w:type="dxa"/>
            <w:tcBorders>
              <w:top w:val="single" w:sz="4" w:space="0" w:color="BFBFBF"/>
              <w:left w:val="single" w:sz="4" w:space="0" w:color="BFBFBF"/>
              <w:bottom w:val="single" w:sz="4" w:space="0" w:color="BFBFBF"/>
              <w:right w:val="single" w:sz="4" w:space="0" w:color="BFBFBF"/>
            </w:tcBorders>
            <w:shd w:val="clear" w:color="auto" w:fill="1F3864"/>
            <w:tcMar>
              <w:top w:w="20" w:type="dxa"/>
              <w:left w:w="60" w:type="dxa"/>
              <w:bottom w:w="20" w:type="dxa"/>
              <w:right w:w="60" w:type="dxa"/>
            </w:tcMar>
            <w:vAlign w:val="center"/>
          </w:tcPr>
          <w:p w14:paraId="066B41CD" w14:textId="77777777" w:rsidR="000B3DF0" w:rsidRDefault="00000000">
            <w:pPr>
              <w:spacing w:line="228" w:lineRule="auto"/>
              <w:jc w:val="center"/>
            </w:pPr>
            <w:r>
              <w:rPr>
                <w:b/>
                <w:bCs/>
                <w:color w:val="FFFFFF"/>
                <w:sz w:val="17"/>
                <w:szCs w:val="17"/>
              </w:rPr>
              <w:t>Bear IRR</w:t>
            </w:r>
          </w:p>
        </w:tc>
        <w:tc>
          <w:tcPr>
            <w:tcW w:w="1450" w:type="dxa"/>
            <w:tcBorders>
              <w:top w:val="single" w:sz="4" w:space="0" w:color="BFBFBF"/>
              <w:left w:val="single" w:sz="4" w:space="0" w:color="BFBFBF"/>
              <w:bottom w:val="single" w:sz="4" w:space="0" w:color="BFBFBF"/>
              <w:right w:val="single" w:sz="4" w:space="0" w:color="BFBFBF"/>
            </w:tcBorders>
            <w:shd w:val="clear" w:color="auto" w:fill="1F3864"/>
            <w:tcMar>
              <w:top w:w="20" w:type="dxa"/>
              <w:left w:w="60" w:type="dxa"/>
              <w:bottom w:w="20" w:type="dxa"/>
              <w:right w:w="60" w:type="dxa"/>
            </w:tcMar>
            <w:vAlign w:val="center"/>
          </w:tcPr>
          <w:p w14:paraId="5BC7FAA3" w14:textId="77777777" w:rsidR="000B3DF0" w:rsidRDefault="00000000">
            <w:pPr>
              <w:spacing w:line="228" w:lineRule="auto"/>
              <w:jc w:val="center"/>
            </w:pPr>
            <w:r>
              <w:rPr>
                <w:b/>
                <w:bCs/>
                <w:color w:val="FFFFFF"/>
                <w:sz w:val="17"/>
                <w:szCs w:val="17"/>
              </w:rPr>
              <w:t>Bear MOIC</w:t>
            </w:r>
          </w:p>
        </w:tc>
      </w:tr>
      <w:tr w:rsidR="000B3DF0" w14:paraId="286126C5" w14:textId="77777777">
        <w:tc>
          <w:tcPr>
            <w:tcW w:w="1400" w:type="dxa"/>
            <w:tcBorders>
              <w:top w:val="single" w:sz="4" w:space="0" w:color="BFBFBF"/>
              <w:left w:val="single" w:sz="4" w:space="0" w:color="BFBFBF"/>
              <w:bottom w:val="single" w:sz="4" w:space="0" w:color="BFBFBF"/>
              <w:right w:val="single" w:sz="4" w:space="0" w:color="BFBFBF"/>
            </w:tcBorders>
            <w:shd w:val="clear" w:color="auto" w:fill="EEF2F8"/>
            <w:tcMar>
              <w:top w:w="20" w:type="dxa"/>
              <w:left w:w="60" w:type="dxa"/>
              <w:bottom w:w="20" w:type="dxa"/>
              <w:right w:w="60" w:type="dxa"/>
            </w:tcMar>
            <w:vAlign w:val="center"/>
          </w:tcPr>
          <w:p w14:paraId="3A42F98D" w14:textId="77777777" w:rsidR="000B3DF0" w:rsidRDefault="00000000">
            <w:pPr>
              <w:spacing w:line="228" w:lineRule="auto"/>
            </w:pPr>
            <w:r>
              <w:rPr>
                <w:b/>
                <w:bCs/>
                <w:sz w:val="16"/>
                <w:szCs w:val="16"/>
              </w:rPr>
              <w:t>2017 (3 yrs)</w:t>
            </w:r>
          </w:p>
        </w:tc>
        <w:tc>
          <w:tcPr>
            <w:tcW w:w="1446" w:type="dxa"/>
            <w:tcBorders>
              <w:top w:val="single" w:sz="4" w:space="0" w:color="BFBFBF"/>
              <w:left w:val="single" w:sz="4" w:space="0" w:color="BFBFBF"/>
              <w:bottom w:val="single" w:sz="4" w:space="0" w:color="BFBFBF"/>
              <w:right w:val="single" w:sz="4" w:space="0" w:color="BFBFBF"/>
            </w:tcBorders>
            <w:shd w:val="clear" w:color="auto" w:fill="C6EFCE"/>
            <w:tcMar>
              <w:top w:w="20" w:type="dxa"/>
              <w:left w:w="60" w:type="dxa"/>
              <w:bottom w:w="20" w:type="dxa"/>
              <w:right w:w="60" w:type="dxa"/>
            </w:tcMar>
            <w:vAlign w:val="center"/>
          </w:tcPr>
          <w:p w14:paraId="366C699E" w14:textId="77777777" w:rsidR="000B3DF0" w:rsidRDefault="00000000">
            <w:pPr>
              <w:spacing w:line="228" w:lineRule="auto"/>
              <w:jc w:val="center"/>
            </w:pPr>
            <w:r>
              <w:rPr>
                <w:sz w:val="16"/>
                <w:szCs w:val="16"/>
              </w:rPr>
              <w:t>22.0%</w:t>
            </w:r>
          </w:p>
        </w:tc>
        <w:tc>
          <w:tcPr>
            <w:tcW w:w="1446" w:type="dxa"/>
            <w:tcBorders>
              <w:top w:val="single" w:sz="4" w:space="0" w:color="BFBFBF"/>
              <w:left w:val="single" w:sz="4" w:space="0" w:color="BFBFBF"/>
              <w:bottom w:val="single" w:sz="4" w:space="0" w:color="BFBFBF"/>
              <w:right w:val="single" w:sz="4" w:space="0" w:color="BFBFBF"/>
            </w:tcBorders>
            <w:shd w:val="clear" w:color="auto" w:fill="C6EFCE"/>
            <w:tcMar>
              <w:top w:w="20" w:type="dxa"/>
              <w:left w:w="60" w:type="dxa"/>
              <w:bottom w:w="20" w:type="dxa"/>
              <w:right w:w="60" w:type="dxa"/>
            </w:tcMar>
            <w:vAlign w:val="center"/>
          </w:tcPr>
          <w:p w14:paraId="781CB29A" w14:textId="77777777" w:rsidR="000B3DF0" w:rsidRDefault="00000000">
            <w:pPr>
              <w:spacing w:line="228" w:lineRule="auto"/>
              <w:jc w:val="center"/>
            </w:pPr>
            <w:r>
              <w:rPr>
                <w:sz w:val="16"/>
                <w:szCs w:val="16"/>
              </w:rPr>
              <w:t>1.82x</w:t>
            </w:r>
          </w:p>
        </w:tc>
        <w:tc>
          <w:tcPr>
            <w:tcW w:w="1446" w:type="dxa"/>
            <w:tcBorders>
              <w:top w:val="single" w:sz="4" w:space="0" w:color="BFBFBF"/>
              <w:left w:val="single" w:sz="4" w:space="0" w:color="BFBFBF"/>
              <w:bottom w:val="single" w:sz="4" w:space="0" w:color="BFBFBF"/>
              <w:right w:val="single" w:sz="4" w:space="0" w:color="BFBFBF"/>
            </w:tcBorders>
            <w:shd w:val="clear" w:color="auto" w:fill="C6EFCE"/>
            <w:tcMar>
              <w:top w:w="20" w:type="dxa"/>
              <w:left w:w="60" w:type="dxa"/>
              <w:bottom w:w="20" w:type="dxa"/>
              <w:right w:w="60" w:type="dxa"/>
            </w:tcMar>
            <w:vAlign w:val="center"/>
          </w:tcPr>
          <w:p w14:paraId="7FFCC6D6" w14:textId="77777777" w:rsidR="000B3DF0" w:rsidRDefault="00000000">
            <w:pPr>
              <w:spacing w:line="228" w:lineRule="auto"/>
              <w:jc w:val="center"/>
            </w:pPr>
            <w:r>
              <w:rPr>
                <w:sz w:val="16"/>
                <w:szCs w:val="16"/>
              </w:rPr>
              <w:t>35.0%</w:t>
            </w:r>
          </w:p>
        </w:tc>
        <w:tc>
          <w:tcPr>
            <w:tcW w:w="1446" w:type="dxa"/>
            <w:tcBorders>
              <w:top w:val="single" w:sz="4" w:space="0" w:color="BFBFBF"/>
              <w:left w:val="single" w:sz="4" w:space="0" w:color="BFBFBF"/>
              <w:bottom w:val="single" w:sz="4" w:space="0" w:color="BFBFBF"/>
              <w:right w:val="single" w:sz="4" w:space="0" w:color="BFBFBF"/>
            </w:tcBorders>
            <w:shd w:val="clear" w:color="auto" w:fill="C6EFCE"/>
            <w:tcMar>
              <w:top w:w="20" w:type="dxa"/>
              <w:left w:w="60" w:type="dxa"/>
              <w:bottom w:w="20" w:type="dxa"/>
              <w:right w:w="60" w:type="dxa"/>
            </w:tcMar>
            <w:vAlign w:val="center"/>
          </w:tcPr>
          <w:p w14:paraId="1F64FA8D" w14:textId="77777777" w:rsidR="000B3DF0" w:rsidRDefault="00000000">
            <w:pPr>
              <w:spacing w:line="228" w:lineRule="auto"/>
              <w:jc w:val="center"/>
            </w:pPr>
            <w:r>
              <w:rPr>
                <w:sz w:val="16"/>
                <w:szCs w:val="16"/>
              </w:rPr>
              <w:t>2.46x</w:t>
            </w:r>
          </w:p>
        </w:tc>
        <w:tc>
          <w:tcPr>
            <w:tcW w:w="1446" w:type="dxa"/>
            <w:tcBorders>
              <w:top w:val="single" w:sz="4" w:space="0" w:color="BFBFBF"/>
              <w:left w:val="single" w:sz="4" w:space="0" w:color="BFBFBF"/>
              <w:bottom w:val="single" w:sz="4" w:space="0" w:color="BFBFBF"/>
              <w:right w:val="single" w:sz="4" w:space="0" w:color="BFBFBF"/>
            </w:tcBorders>
            <w:shd w:val="clear" w:color="auto" w:fill="FFC7CE"/>
            <w:tcMar>
              <w:top w:w="20" w:type="dxa"/>
              <w:left w:w="60" w:type="dxa"/>
              <w:bottom w:w="20" w:type="dxa"/>
              <w:right w:w="60" w:type="dxa"/>
            </w:tcMar>
            <w:vAlign w:val="center"/>
          </w:tcPr>
          <w:p w14:paraId="7FECC1F8" w14:textId="77777777" w:rsidR="000B3DF0" w:rsidRDefault="00000000">
            <w:pPr>
              <w:spacing w:line="228" w:lineRule="auto"/>
              <w:jc w:val="center"/>
            </w:pPr>
            <w:r>
              <w:rPr>
                <w:sz w:val="16"/>
                <w:szCs w:val="16"/>
              </w:rPr>
              <w:t>7.4%</w:t>
            </w:r>
          </w:p>
        </w:tc>
        <w:tc>
          <w:tcPr>
            <w:tcW w:w="1450" w:type="dxa"/>
            <w:tcBorders>
              <w:top w:val="single" w:sz="4" w:space="0" w:color="BFBFBF"/>
              <w:left w:val="single" w:sz="4" w:space="0" w:color="BFBFBF"/>
              <w:bottom w:val="single" w:sz="4" w:space="0" w:color="BFBFBF"/>
              <w:right w:val="single" w:sz="4" w:space="0" w:color="BFBFBF"/>
            </w:tcBorders>
            <w:shd w:val="clear" w:color="auto" w:fill="FFC7CE"/>
            <w:tcMar>
              <w:top w:w="20" w:type="dxa"/>
              <w:left w:w="60" w:type="dxa"/>
              <w:bottom w:w="20" w:type="dxa"/>
              <w:right w:w="60" w:type="dxa"/>
            </w:tcMar>
            <w:vAlign w:val="center"/>
          </w:tcPr>
          <w:p w14:paraId="38DA43A0" w14:textId="77777777" w:rsidR="000B3DF0" w:rsidRDefault="00000000">
            <w:pPr>
              <w:spacing w:line="228" w:lineRule="auto"/>
              <w:jc w:val="center"/>
            </w:pPr>
            <w:r>
              <w:rPr>
                <w:sz w:val="16"/>
                <w:szCs w:val="16"/>
              </w:rPr>
              <w:t>1.24x</w:t>
            </w:r>
          </w:p>
        </w:tc>
      </w:tr>
      <w:tr w:rsidR="000B3DF0" w14:paraId="53F3ED16" w14:textId="77777777">
        <w:tc>
          <w:tcPr>
            <w:tcW w:w="1400" w:type="dxa"/>
            <w:tcBorders>
              <w:top w:val="single" w:sz="4" w:space="0" w:color="BFBFBF"/>
              <w:left w:val="single" w:sz="4" w:space="0" w:color="BFBFBF"/>
              <w:bottom w:val="single" w:sz="4" w:space="0" w:color="BFBFBF"/>
              <w:right w:val="single" w:sz="4" w:space="0" w:color="BFBFBF"/>
            </w:tcBorders>
            <w:shd w:val="clear" w:color="auto" w:fill="EEF2F8"/>
            <w:tcMar>
              <w:top w:w="20" w:type="dxa"/>
              <w:left w:w="60" w:type="dxa"/>
              <w:bottom w:w="20" w:type="dxa"/>
              <w:right w:w="60" w:type="dxa"/>
            </w:tcMar>
            <w:vAlign w:val="center"/>
          </w:tcPr>
          <w:p w14:paraId="32191EA5" w14:textId="77777777" w:rsidR="000B3DF0" w:rsidRDefault="00000000">
            <w:pPr>
              <w:spacing w:line="228" w:lineRule="auto"/>
            </w:pPr>
            <w:r>
              <w:rPr>
                <w:b/>
                <w:bCs/>
                <w:sz w:val="16"/>
                <w:szCs w:val="16"/>
              </w:rPr>
              <w:t>2018 (4 yrs)</w:t>
            </w:r>
          </w:p>
        </w:tc>
        <w:tc>
          <w:tcPr>
            <w:tcW w:w="1446" w:type="dxa"/>
            <w:tcBorders>
              <w:top w:val="single" w:sz="4" w:space="0" w:color="BFBFBF"/>
              <w:left w:val="single" w:sz="4" w:space="0" w:color="BFBFBF"/>
              <w:bottom w:val="single" w:sz="4" w:space="0" w:color="BFBFBF"/>
              <w:right w:val="single" w:sz="4" w:space="0" w:color="BFBFBF"/>
            </w:tcBorders>
            <w:shd w:val="clear" w:color="auto" w:fill="C6EFCE"/>
            <w:tcMar>
              <w:top w:w="20" w:type="dxa"/>
              <w:left w:w="60" w:type="dxa"/>
              <w:bottom w:w="20" w:type="dxa"/>
              <w:right w:w="60" w:type="dxa"/>
            </w:tcMar>
            <w:vAlign w:val="center"/>
          </w:tcPr>
          <w:p w14:paraId="08B979EF" w14:textId="77777777" w:rsidR="000B3DF0" w:rsidRDefault="00000000">
            <w:pPr>
              <w:spacing w:line="228" w:lineRule="auto"/>
              <w:jc w:val="center"/>
            </w:pPr>
            <w:r>
              <w:rPr>
                <w:sz w:val="16"/>
                <w:szCs w:val="16"/>
              </w:rPr>
              <w:t>21.2%</w:t>
            </w:r>
          </w:p>
        </w:tc>
        <w:tc>
          <w:tcPr>
            <w:tcW w:w="1446" w:type="dxa"/>
            <w:tcBorders>
              <w:top w:val="single" w:sz="4" w:space="0" w:color="BFBFBF"/>
              <w:left w:val="single" w:sz="4" w:space="0" w:color="BFBFBF"/>
              <w:bottom w:val="single" w:sz="4" w:space="0" w:color="BFBFBF"/>
              <w:right w:val="single" w:sz="4" w:space="0" w:color="BFBFBF"/>
            </w:tcBorders>
            <w:shd w:val="clear" w:color="auto" w:fill="C6EFCE"/>
            <w:tcMar>
              <w:top w:w="20" w:type="dxa"/>
              <w:left w:w="60" w:type="dxa"/>
              <w:bottom w:w="20" w:type="dxa"/>
              <w:right w:w="60" w:type="dxa"/>
            </w:tcMar>
            <w:vAlign w:val="center"/>
          </w:tcPr>
          <w:p w14:paraId="4E877F12" w14:textId="77777777" w:rsidR="000B3DF0" w:rsidRDefault="00000000">
            <w:pPr>
              <w:spacing w:line="228" w:lineRule="auto"/>
              <w:jc w:val="center"/>
            </w:pPr>
            <w:r>
              <w:rPr>
                <w:sz w:val="16"/>
                <w:szCs w:val="16"/>
              </w:rPr>
              <w:t>2.16x</w:t>
            </w:r>
          </w:p>
        </w:tc>
        <w:tc>
          <w:tcPr>
            <w:tcW w:w="1446" w:type="dxa"/>
            <w:tcBorders>
              <w:top w:val="single" w:sz="4" w:space="0" w:color="BFBFBF"/>
              <w:left w:val="single" w:sz="4" w:space="0" w:color="BFBFBF"/>
              <w:bottom w:val="single" w:sz="4" w:space="0" w:color="BFBFBF"/>
              <w:right w:val="single" w:sz="4" w:space="0" w:color="BFBFBF"/>
            </w:tcBorders>
            <w:shd w:val="clear" w:color="auto" w:fill="C6EFCE"/>
            <w:tcMar>
              <w:top w:w="20" w:type="dxa"/>
              <w:left w:w="60" w:type="dxa"/>
              <w:bottom w:w="20" w:type="dxa"/>
              <w:right w:w="60" w:type="dxa"/>
            </w:tcMar>
            <w:vAlign w:val="center"/>
          </w:tcPr>
          <w:p w14:paraId="3F22A6B0" w14:textId="77777777" w:rsidR="000B3DF0" w:rsidRDefault="00000000">
            <w:pPr>
              <w:spacing w:line="228" w:lineRule="auto"/>
              <w:jc w:val="center"/>
            </w:pPr>
            <w:r>
              <w:rPr>
                <w:sz w:val="16"/>
                <w:szCs w:val="16"/>
              </w:rPr>
              <w:t>31.3%</w:t>
            </w:r>
          </w:p>
        </w:tc>
        <w:tc>
          <w:tcPr>
            <w:tcW w:w="1446" w:type="dxa"/>
            <w:tcBorders>
              <w:top w:val="single" w:sz="4" w:space="0" w:color="BFBFBF"/>
              <w:left w:val="single" w:sz="4" w:space="0" w:color="BFBFBF"/>
              <w:bottom w:val="single" w:sz="4" w:space="0" w:color="BFBFBF"/>
              <w:right w:val="single" w:sz="4" w:space="0" w:color="BFBFBF"/>
            </w:tcBorders>
            <w:shd w:val="clear" w:color="auto" w:fill="C6EFCE"/>
            <w:tcMar>
              <w:top w:w="20" w:type="dxa"/>
              <w:left w:w="60" w:type="dxa"/>
              <w:bottom w:w="20" w:type="dxa"/>
              <w:right w:w="60" w:type="dxa"/>
            </w:tcMar>
            <w:vAlign w:val="center"/>
          </w:tcPr>
          <w:p w14:paraId="2F617CEA" w14:textId="77777777" w:rsidR="000B3DF0" w:rsidRDefault="00000000">
            <w:pPr>
              <w:spacing w:line="228" w:lineRule="auto"/>
              <w:jc w:val="center"/>
            </w:pPr>
            <w:r>
              <w:rPr>
                <w:sz w:val="16"/>
                <w:szCs w:val="16"/>
              </w:rPr>
              <w:t>2.97x</w:t>
            </w:r>
          </w:p>
        </w:tc>
        <w:tc>
          <w:tcPr>
            <w:tcW w:w="1446" w:type="dxa"/>
            <w:tcBorders>
              <w:top w:val="single" w:sz="4" w:space="0" w:color="BFBFBF"/>
              <w:left w:val="single" w:sz="4" w:space="0" w:color="BFBFBF"/>
              <w:bottom w:val="single" w:sz="4" w:space="0" w:color="BFBFBF"/>
              <w:right w:val="single" w:sz="4" w:space="0" w:color="BFBFBF"/>
            </w:tcBorders>
            <w:shd w:val="clear" w:color="auto" w:fill="FFC7CE"/>
            <w:tcMar>
              <w:top w:w="20" w:type="dxa"/>
              <w:left w:w="60" w:type="dxa"/>
              <w:bottom w:w="20" w:type="dxa"/>
              <w:right w:w="60" w:type="dxa"/>
            </w:tcMar>
            <w:vAlign w:val="center"/>
          </w:tcPr>
          <w:p w14:paraId="4A01E1B7" w14:textId="77777777" w:rsidR="000B3DF0" w:rsidRDefault="00000000">
            <w:pPr>
              <w:spacing w:line="228" w:lineRule="auto"/>
              <w:jc w:val="center"/>
            </w:pPr>
            <w:r>
              <w:rPr>
                <w:sz w:val="16"/>
                <w:szCs w:val="16"/>
              </w:rPr>
              <w:t>10.5%</w:t>
            </w:r>
          </w:p>
        </w:tc>
        <w:tc>
          <w:tcPr>
            <w:tcW w:w="1450" w:type="dxa"/>
            <w:tcBorders>
              <w:top w:val="single" w:sz="4" w:space="0" w:color="BFBFBF"/>
              <w:left w:val="single" w:sz="4" w:space="0" w:color="BFBFBF"/>
              <w:bottom w:val="single" w:sz="4" w:space="0" w:color="BFBFBF"/>
              <w:right w:val="single" w:sz="4" w:space="0" w:color="BFBFBF"/>
            </w:tcBorders>
            <w:shd w:val="clear" w:color="auto" w:fill="FFC7CE"/>
            <w:tcMar>
              <w:top w:w="20" w:type="dxa"/>
              <w:left w:w="60" w:type="dxa"/>
              <w:bottom w:w="20" w:type="dxa"/>
              <w:right w:w="60" w:type="dxa"/>
            </w:tcMar>
            <w:vAlign w:val="center"/>
          </w:tcPr>
          <w:p w14:paraId="453D18F9" w14:textId="77777777" w:rsidR="000B3DF0" w:rsidRDefault="00000000">
            <w:pPr>
              <w:spacing w:line="228" w:lineRule="auto"/>
              <w:jc w:val="center"/>
            </w:pPr>
            <w:r>
              <w:rPr>
                <w:sz w:val="16"/>
                <w:szCs w:val="16"/>
              </w:rPr>
              <w:t>1.49x</w:t>
            </w:r>
          </w:p>
        </w:tc>
      </w:tr>
      <w:tr w:rsidR="000B3DF0" w14:paraId="1955C950" w14:textId="77777777">
        <w:tc>
          <w:tcPr>
            <w:tcW w:w="1400" w:type="dxa"/>
            <w:tcBorders>
              <w:top w:val="single" w:sz="4" w:space="0" w:color="BFBFBF"/>
              <w:left w:val="single" w:sz="4" w:space="0" w:color="BFBFBF"/>
              <w:bottom w:val="single" w:sz="4" w:space="0" w:color="BFBFBF"/>
              <w:right w:val="single" w:sz="4" w:space="0" w:color="BFBFBF"/>
            </w:tcBorders>
            <w:shd w:val="clear" w:color="auto" w:fill="EEF2F8"/>
            <w:tcMar>
              <w:top w:w="20" w:type="dxa"/>
              <w:left w:w="60" w:type="dxa"/>
              <w:bottom w:w="20" w:type="dxa"/>
              <w:right w:w="60" w:type="dxa"/>
            </w:tcMar>
            <w:vAlign w:val="center"/>
          </w:tcPr>
          <w:p w14:paraId="4FDB3CA8" w14:textId="77777777" w:rsidR="000B3DF0" w:rsidRDefault="00000000">
            <w:pPr>
              <w:spacing w:line="228" w:lineRule="auto"/>
            </w:pPr>
            <w:r>
              <w:rPr>
                <w:b/>
                <w:bCs/>
                <w:sz w:val="16"/>
                <w:szCs w:val="16"/>
              </w:rPr>
              <w:t>2019 (5 yrs)</w:t>
            </w:r>
          </w:p>
        </w:tc>
        <w:tc>
          <w:tcPr>
            <w:tcW w:w="1446" w:type="dxa"/>
            <w:tcBorders>
              <w:top w:val="single" w:sz="4" w:space="0" w:color="BFBFBF"/>
              <w:left w:val="single" w:sz="4" w:space="0" w:color="BFBFBF"/>
              <w:bottom w:val="single" w:sz="4" w:space="0" w:color="BFBFBF"/>
              <w:right w:val="single" w:sz="4" w:space="0" w:color="BFBFBF"/>
            </w:tcBorders>
            <w:shd w:val="clear" w:color="auto" w:fill="C6EFCE"/>
            <w:tcMar>
              <w:top w:w="20" w:type="dxa"/>
              <w:left w:w="60" w:type="dxa"/>
              <w:bottom w:w="20" w:type="dxa"/>
              <w:right w:w="60" w:type="dxa"/>
            </w:tcMar>
            <w:vAlign w:val="center"/>
          </w:tcPr>
          <w:p w14:paraId="28B2E6CE" w14:textId="77777777" w:rsidR="000B3DF0" w:rsidRDefault="00000000">
            <w:pPr>
              <w:spacing w:line="228" w:lineRule="auto"/>
              <w:jc w:val="center"/>
            </w:pPr>
            <w:r>
              <w:rPr>
                <w:sz w:val="16"/>
                <w:szCs w:val="16"/>
              </w:rPr>
              <w:t>20.6%</w:t>
            </w:r>
          </w:p>
        </w:tc>
        <w:tc>
          <w:tcPr>
            <w:tcW w:w="1446" w:type="dxa"/>
            <w:tcBorders>
              <w:top w:val="single" w:sz="4" w:space="0" w:color="BFBFBF"/>
              <w:left w:val="single" w:sz="4" w:space="0" w:color="BFBFBF"/>
              <w:bottom w:val="single" w:sz="4" w:space="0" w:color="BFBFBF"/>
              <w:right w:val="single" w:sz="4" w:space="0" w:color="BFBFBF"/>
            </w:tcBorders>
            <w:shd w:val="clear" w:color="auto" w:fill="C6EFCE"/>
            <w:tcMar>
              <w:top w:w="20" w:type="dxa"/>
              <w:left w:w="60" w:type="dxa"/>
              <w:bottom w:w="20" w:type="dxa"/>
              <w:right w:w="60" w:type="dxa"/>
            </w:tcMar>
            <w:vAlign w:val="center"/>
          </w:tcPr>
          <w:p w14:paraId="724D2448" w14:textId="77777777" w:rsidR="000B3DF0" w:rsidRDefault="00000000">
            <w:pPr>
              <w:spacing w:line="228" w:lineRule="auto"/>
              <w:jc w:val="center"/>
            </w:pPr>
            <w:r>
              <w:rPr>
                <w:sz w:val="16"/>
                <w:szCs w:val="16"/>
              </w:rPr>
              <w:t>2.55x</w:t>
            </w:r>
          </w:p>
        </w:tc>
        <w:tc>
          <w:tcPr>
            <w:tcW w:w="1446" w:type="dxa"/>
            <w:tcBorders>
              <w:top w:val="single" w:sz="4" w:space="0" w:color="BFBFBF"/>
              <w:left w:val="single" w:sz="4" w:space="0" w:color="BFBFBF"/>
              <w:bottom w:val="single" w:sz="4" w:space="0" w:color="BFBFBF"/>
              <w:right w:val="single" w:sz="4" w:space="0" w:color="BFBFBF"/>
            </w:tcBorders>
            <w:shd w:val="clear" w:color="auto" w:fill="C6EFCE"/>
            <w:tcMar>
              <w:top w:w="20" w:type="dxa"/>
              <w:left w:w="60" w:type="dxa"/>
              <w:bottom w:w="20" w:type="dxa"/>
              <w:right w:w="60" w:type="dxa"/>
            </w:tcMar>
            <w:vAlign w:val="center"/>
          </w:tcPr>
          <w:p w14:paraId="1475C7E2" w14:textId="77777777" w:rsidR="000B3DF0" w:rsidRDefault="00000000">
            <w:pPr>
              <w:spacing w:line="228" w:lineRule="auto"/>
              <w:jc w:val="center"/>
            </w:pPr>
            <w:r>
              <w:rPr>
                <w:sz w:val="16"/>
                <w:szCs w:val="16"/>
              </w:rPr>
              <w:t>28.9%</w:t>
            </w:r>
          </w:p>
        </w:tc>
        <w:tc>
          <w:tcPr>
            <w:tcW w:w="1446" w:type="dxa"/>
            <w:tcBorders>
              <w:top w:val="single" w:sz="4" w:space="0" w:color="BFBFBF"/>
              <w:left w:val="single" w:sz="4" w:space="0" w:color="BFBFBF"/>
              <w:bottom w:val="single" w:sz="4" w:space="0" w:color="BFBFBF"/>
              <w:right w:val="single" w:sz="4" w:space="0" w:color="BFBFBF"/>
            </w:tcBorders>
            <w:shd w:val="clear" w:color="auto" w:fill="C6EFCE"/>
            <w:tcMar>
              <w:top w:w="20" w:type="dxa"/>
              <w:left w:w="60" w:type="dxa"/>
              <w:bottom w:w="20" w:type="dxa"/>
              <w:right w:w="60" w:type="dxa"/>
            </w:tcMar>
            <w:vAlign w:val="center"/>
          </w:tcPr>
          <w:p w14:paraId="0581E7F8" w14:textId="77777777" w:rsidR="000B3DF0" w:rsidRDefault="00000000">
            <w:pPr>
              <w:spacing w:line="228" w:lineRule="auto"/>
              <w:jc w:val="center"/>
            </w:pPr>
            <w:r>
              <w:rPr>
                <w:sz w:val="16"/>
                <w:szCs w:val="16"/>
              </w:rPr>
              <w:t>3.56x</w:t>
            </w:r>
          </w:p>
        </w:tc>
        <w:tc>
          <w:tcPr>
            <w:tcW w:w="1446" w:type="dxa"/>
            <w:tcBorders>
              <w:top w:val="single" w:sz="4" w:space="0" w:color="BFBFBF"/>
              <w:left w:val="single" w:sz="4" w:space="0" w:color="BFBFBF"/>
              <w:bottom w:val="single" w:sz="4" w:space="0" w:color="BFBFBF"/>
              <w:right w:val="single" w:sz="4" w:space="0" w:color="BFBFBF"/>
            </w:tcBorders>
            <w:tcMar>
              <w:top w:w="20" w:type="dxa"/>
              <w:left w:w="60" w:type="dxa"/>
              <w:bottom w:w="20" w:type="dxa"/>
              <w:right w:w="60" w:type="dxa"/>
            </w:tcMar>
            <w:vAlign w:val="center"/>
          </w:tcPr>
          <w:p w14:paraId="63ACD7C7" w14:textId="77777777" w:rsidR="000B3DF0" w:rsidRDefault="00000000">
            <w:pPr>
              <w:spacing w:line="228" w:lineRule="auto"/>
              <w:jc w:val="center"/>
            </w:pPr>
            <w:r>
              <w:rPr>
                <w:sz w:val="16"/>
                <w:szCs w:val="16"/>
              </w:rPr>
              <w:t>12.1%</w:t>
            </w:r>
          </w:p>
        </w:tc>
        <w:tc>
          <w:tcPr>
            <w:tcW w:w="1450" w:type="dxa"/>
            <w:tcBorders>
              <w:top w:val="single" w:sz="4" w:space="0" w:color="BFBFBF"/>
              <w:left w:val="single" w:sz="4" w:space="0" w:color="BFBFBF"/>
              <w:bottom w:val="single" w:sz="4" w:space="0" w:color="BFBFBF"/>
              <w:right w:val="single" w:sz="4" w:space="0" w:color="BFBFBF"/>
            </w:tcBorders>
            <w:tcMar>
              <w:top w:w="20" w:type="dxa"/>
              <w:left w:w="60" w:type="dxa"/>
              <w:bottom w:w="20" w:type="dxa"/>
              <w:right w:w="60" w:type="dxa"/>
            </w:tcMar>
            <w:vAlign w:val="center"/>
          </w:tcPr>
          <w:p w14:paraId="78DEE074" w14:textId="77777777" w:rsidR="000B3DF0" w:rsidRDefault="00000000">
            <w:pPr>
              <w:spacing w:line="228" w:lineRule="auto"/>
              <w:jc w:val="center"/>
            </w:pPr>
            <w:r>
              <w:rPr>
                <w:sz w:val="16"/>
                <w:szCs w:val="16"/>
              </w:rPr>
              <w:t>1.77x</w:t>
            </w:r>
          </w:p>
        </w:tc>
      </w:tr>
    </w:tbl>
    <w:p w14:paraId="51E193CC" w14:textId="59CCAE8F" w:rsidR="000B3DF0" w:rsidRDefault="00000000">
      <w:pPr>
        <w:keepNext/>
        <w:pBdr>
          <w:bottom w:val="single" w:sz="6" w:space="1" w:color="1F3864"/>
        </w:pBdr>
        <w:spacing w:before="140" w:after="60"/>
      </w:pPr>
      <w:r>
        <w:rPr>
          <w:b/>
          <w:bCs/>
          <w:color w:val="1F3864"/>
          <w:sz w:val="24"/>
          <w:szCs w:val="24"/>
        </w:rPr>
        <w:t xml:space="preserve">6. Key </w:t>
      </w:r>
      <w:r w:rsidR="0014319D">
        <w:rPr>
          <w:b/>
          <w:bCs/>
          <w:color w:val="1F3864"/>
          <w:sz w:val="24"/>
          <w:szCs w:val="24"/>
        </w:rPr>
        <w:t>R</w:t>
      </w:r>
      <w:r>
        <w:rPr>
          <w:b/>
          <w:bCs/>
          <w:color w:val="1F3864"/>
          <w:sz w:val="24"/>
          <w:szCs w:val="24"/>
        </w:rPr>
        <w:t xml:space="preserve">isks </w:t>
      </w:r>
    </w:p>
    <w:p w14:paraId="55EFEA2D" w14:textId="0FA92DA9" w:rsidR="000B3DF0" w:rsidRDefault="00000000">
      <w:pPr>
        <w:pStyle w:val="ListParagraph"/>
        <w:numPr>
          <w:ilvl w:val="0"/>
          <w:numId w:val="2"/>
        </w:numPr>
        <w:spacing w:after="40"/>
      </w:pPr>
      <w:r>
        <w:rPr>
          <w:b/>
          <w:bCs/>
          <w:sz w:val="21"/>
          <w:szCs w:val="21"/>
        </w:rPr>
        <w:t xml:space="preserve">Customer and contract risk. </w:t>
      </w:r>
      <w:r>
        <w:rPr>
          <w:sz w:val="21"/>
          <w:szCs w:val="21"/>
        </w:rPr>
        <w:t>Top 10 customers are 36.4% of sales, the largest 8.0%; there are no long-term contracts and orders can be cancelled</w:t>
      </w:r>
      <w:r w:rsidR="0014319D">
        <w:rPr>
          <w:sz w:val="21"/>
          <w:szCs w:val="21"/>
        </w:rPr>
        <w:t xml:space="preserve">. Viability of the Bear growth case calculations are dependent on this. </w:t>
      </w:r>
    </w:p>
    <w:p w14:paraId="6FF79DDB" w14:textId="19F65677" w:rsidR="000B3DF0" w:rsidRDefault="00000000">
      <w:pPr>
        <w:pStyle w:val="ListParagraph"/>
        <w:numPr>
          <w:ilvl w:val="0"/>
          <w:numId w:val="2"/>
        </w:numPr>
        <w:spacing w:after="40"/>
      </w:pPr>
      <w:r>
        <w:rPr>
          <w:b/>
          <w:bCs/>
          <w:sz w:val="21"/>
          <w:szCs w:val="21"/>
        </w:rPr>
        <w:t xml:space="preserve">Leverage and rates. </w:t>
      </w:r>
      <w:r>
        <w:rPr>
          <w:sz w:val="21"/>
          <w:szCs w:val="21"/>
        </w:rPr>
        <w:t>The model assumes a 10.08% all-in term loan rate and no hedg</w:t>
      </w:r>
      <w:r w:rsidR="0014319D">
        <w:rPr>
          <w:sz w:val="21"/>
          <w:szCs w:val="21"/>
        </w:rPr>
        <w:t xml:space="preserve">e, assuming </w:t>
      </w:r>
      <w:r>
        <w:rPr>
          <w:sz w:val="21"/>
          <w:szCs w:val="21"/>
        </w:rPr>
        <w:t>interest exposure is unhedged and covenants include minimum coverage</w:t>
      </w:r>
      <w:r w:rsidR="0014319D">
        <w:rPr>
          <w:sz w:val="21"/>
          <w:szCs w:val="21"/>
        </w:rPr>
        <w:t>.</w:t>
      </w:r>
      <w:r>
        <w:rPr>
          <w:sz w:val="21"/>
          <w:szCs w:val="21"/>
        </w:rPr>
        <w:t xml:space="preserve"> Rates were not flexed in any </w:t>
      </w:r>
      <w:r w:rsidR="0014319D">
        <w:rPr>
          <w:sz w:val="21"/>
          <w:szCs w:val="21"/>
        </w:rPr>
        <w:t xml:space="preserve">of the </w:t>
      </w:r>
      <w:r>
        <w:rPr>
          <w:sz w:val="21"/>
          <w:szCs w:val="21"/>
        </w:rPr>
        <w:t>case</w:t>
      </w:r>
      <w:r w:rsidR="0014319D">
        <w:rPr>
          <w:sz w:val="21"/>
          <w:szCs w:val="21"/>
        </w:rPr>
        <w:t>s modeled</w:t>
      </w:r>
      <w:r>
        <w:rPr>
          <w:sz w:val="21"/>
          <w:szCs w:val="21"/>
        </w:rPr>
        <w:t>.</w:t>
      </w:r>
    </w:p>
    <w:p w14:paraId="215C5148" w14:textId="421661C3" w:rsidR="000B3DF0" w:rsidRDefault="00000000" w:rsidP="0014319D">
      <w:pPr>
        <w:pStyle w:val="ListParagraph"/>
        <w:numPr>
          <w:ilvl w:val="0"/>
          <w:numId w:val="2"/>
        </w:numPr>
        <w:spacing w:after="40"/>
      </w:pPr>
      <w:r>
        <w:rPr>
          <w:b/>
          <w:bCs/>
          <w:sz w:val="21"/>
          <w:szCs w:val="21"/>
        </w:rPr>
        <w:t xml:space="preserve">Key people. </w:t>
      </w:r>
      <w:r w:rsidR="0014319D">
        <w:rPr>
          <w:sz w:val="21"/>
          <w:szCs w:val="21"/>
        </w:rPr>
        <w:t xml:space="preserve">Management assessment rested on the biographies </w:t>
      </w:r>
      <w:r w:rsidR="0014319D">
        <w:rPr>
          <w:sz w:val="21"/>
          <w:szCs w:val="21"/>
        </w:rPr>
        <w:t>provided. These f</w:t>
      </w:r>
      <w:r w:rsidRPr="0014319D">
        <w:rPr>
          <w:sz w:val="21"/>
          <w:szCs w:val="21"/>
        </w:rPr>
        <w:t xml:space="preserve">our executives, with 21 to 35 years at </w:t>
      </w:r>
      <w:proofErr w:type="spellStart"/>
      <w:r w:rsidRPr="0014319D">
        <w:rPr>
          <w:sz w:val="21"/>
          <w:szCs w:val="21"/>
        </w:rPr>
        <w:t>Dynacast</w:t>
      </w:r>
      <w:proofErr w:type="spellEnd"/>
      <w:r w:rsidRPr="0014319D">
        <w:rPr>
          <w:sz w:val="21"/>
          <w:szCs w:val="21"/>
        </w:rPr>
        <w:t xml:space="preserve">, run the business and </w:t>
      </w:r>
      <w:r w:rsidR="0014319D">
        <w:rPr>
          <w:sz w:val="21"/>
          <w:szCs w:val="21"/>
        </w:rPr>
        <w:t xml:space="preserve">have risk of material losses. </w:t>
      </w:r>
    </w:p>
    <w:sectPr w:rsidR="000B3DF0">
      <w:pgSz w:w="12240" w:h="15840"/>
      <w:pgMar w:top="864" w:right="1080" w:bottom="864"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855A22"/>
    <w:multiLevelType w:val="hybridMultilevel"/>
    <w:tmpl w:val="85220F3A"/>
    <w:lvl w:ilvl="0" w:tplc="710AF53E">
      <w:start w:val="1"/>
      <w:numFmt w:val="bullet"/>
      <w:lvlText w:val="●"/>
      <w:lvlJc w:val="left"/>
      <w:pPr>
        <w:ind w:left="720" w:hanging="360"/>
      </w:pPr>
    </w:lvl>
    <w:lvl w:ilvl="1" w:tplc="CD70E8C2">
      <w:start w:val="1"/>
      <w:numFmt w:val="bullet"/>
      <w:lvlText w:val="○"/>
      <w:lvlJc w:val="left"/>
      <w:pPr>
        <w:ind w:left="1440" w:hanging="360"/>
      </w:pPr>
    </w:lvl>
    <w:lvl w:ilvl="2" w:tplc="F17CBB26">
      <w:start w:val="1"/>
      <w:numFmt w:val="bullet"/>
      <w:lvlText w:val="■"/>
      <w:lvlJc w:val="left"/>
      <w:pPr>
        <w:ind w:left="2160" w:hanging="360"/>
      </w:pPr>
    </w:lvl>
    <w:lvl w:ilvl="3" w:tplc="4B1E28A6">
      <w:start w:val="1"/>
      <w:numFmt w:val="bullet"/>
      <w:lvlText w:val="●"/>
      <w:lvlJc w:val="left"/>
      <w:pPr>
        <w:ind w:left="2880" w:hanging="360"/>
      </w:pPr>
    </w:lvl>
    <w:lvl w:ilvl="4" w:tplc="B170B19A">
      <w:start w:val="1"/>
      <w:numFmt w:val="bullet"/>
      <w:lvlText w:val="○"/>
      <w:lvlJc w:val="left"/>
      <w:pPr>
        <w:ind w:left="3600" w:hanging="360"/>
      </w:pPr>
    </w:lvl>
    <w:lvl w:ilvl="5" w:tplc="0DCC8C60">
      <w:start w:val="1"/>
      <w:numFmt w:val="bullet"/>
      <w:lvlText w:val="■"/>
      <w:lvlJc w:val="left"/>
      <w:pPr>
        <w:ind w:left="4320" w:hanging="360"/>
      </w:pPr>
    </w:lvl>
    <w:lvl w:ilvl="6" w:tplc="AD32DBF4">
      <w:start w:val="1"/>
      <w:numFmt w:val="bullet"/>
      <w:lvlText w:val="●"/>
      <w:lvlJc w:val="left"/>
      <w:pPr>
        <w:ind w:left="5040" w:hanging="360"/>
      </w:pPr>
    </w:lvl>
    <w:lvl w:ilvl="7" w:tplc="E228A358">
      <w:start w:val="1"/>
      <w:numFmt w:val="bullet"/>
      <w:lvlText w:val="●"/>
      <w:lvlJc w:val="left"/>
      <w:pPr>
        <w:ind w:left="5760" w:hanging="360"/>
      </w:pPr>
    </w:lvl>
    <w:lvl w:ilvl="8" w:tplc="07FCBD7A">
      <w:start w:val="1"/>
      <w:numFmt w:val="bullet"/>
      <w:lvlText w:val="●"/>
      <w:lvlJc w:val="left"/>
      <w:pPr>
        <w:ind w:left="6480" w:hanging="360"/>
      </w:pPr>
    </w:lvl>
  </w:abstractNum>
  <w:abstractNum w:abstractNumId="1" w15:restartNumberingAfterBreak="0">
    <w:nsid w:val="397C134C"/>
    <w:multiLevelType w:val="hybridMultilevel"/>
    <w:tmpl w:val="D97272DC"/>
    <w:lvl w:ilvl="0" w:tplc="0444DF92">
      <w:start w:val="1"/>
      <w:numFmt w:val="bullet"/>
      <w:lvlText w:val="•"/>
      <w:lvlJc w:val="left"/>
      <w:pPr>
        <w:ind w:left="360" w:hanging="240"/>
      </w:pPr>
    </w:lvl>
    <w:lvl w:ilvl="1" w:tplc="A754D406">
      <w:numFmt w:val="decimal"/>
      <w:lvlText w:val=""/>
      <w:lvlJc w:val="left"/>
    </w:lvl>
    <w:lvl w:ilvl="2" w:tplc="7B5007F2">
      <w:numFmt w:val="decimal"/>
      <w:lvlText w:val=""/>
      <w:lvlJc w:val="left"/>
    </w:lvl>
    <w:lvl w:ilvl="3" w:tplc="0BF628F6">
      <w:numFmt w:val="decimal"/>
      <w:lvlText w:val=""/>
      <w:lvlJc w:val="left"/>
    </w:lvl>
    <w:lvl w:ilvl="4" w:tplc="EDB49E98">
      <w:numFmt w:val="decimal"/>
      <w:lvlText w:val=""/>
      <w:lvlJc w:val="left"/>
    </w:lvl>
    <w:lvl w:ilvl="5" w:tplc="AE0ED0F0">
      <w:numFmt w:val="decimal"/>
      <w:lvlText w:val=""/>
      <w:lvlJc w:val="left"/>
    </w:lvl>
    <w:lvl w:ilvl="6" w:tplc="466C0562">
      <w:numFmt w:val="decimal"/>
      <w:lvlText w:val=""/>
      <w:lvlJc w:val="left"/>
    </w:lvl>
    <w:lvl w:ilvl="7" w:tplc="E40E6F42">
      <w:numFmt w:val="decimal"/>
      <w:lvlText w:val=""/>
      <w:lvlJc w:val="left"/>
    </w:lvl>
    <w:lvl w:ilvl="8" w:tplc="A684AD70">
      <w:numFmt w:val="decimal"/>
      <w:lvlText w:val=""/>
      <w:lvlJc w:val="left"/>
    </w:lvl>
  </w:abstractNum>
  <w:num w:numId="1" w16cid:durableId="446774317">
    <w:abstractNumId w:val="0"/>
    <w:lvlOverride w:ilvl="0">
      <w:startOverride w:val="1"/>
    </w:lvlOverride>
  </w:num>
  <w:num w:numId="2" w16cid:durableId="175704928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3DF0"/>
    <w:rsid w:val="000B3DF0"/>
    <w:rsid w:val="0014319D"/>
    <w:rsid w:val="00610CE3"/>
    <w:rsid w:val="00CB0122"/>
    <w:rsid w:val="00CF4C41"/>
    <w:rsid w:val="00D44BE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B44910"/>
  <w15:docId w15:val="{8B8FB49A-9081-4706-8BA8-B7A637D599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21</TotalTime>
  <Pages>3</Pages>
  <Words>1298</Words>
  <Characters>7405</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Zion Kidd</cp:lastModifiedBy>
  <cp:revision>3</cp:revision>
  <dcterms:created xsi:type="dcterms:W3CDTF">2026-10-05T03:02:00Z</dcterms:created>
  <dcterms:modified xsi:type="dcterms:W3CDTF">2026-10-05T03:31:00Z</dcterms:modified>
</cp:coreProperties>
</file>