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49A7" w14:textId="77777777" w:rsidR="005E441E" w:rsidRDefault="005E441E" w:rsidP="005E441E">
      <w:r>
        <w:t>Name: Zachary Mondschein</w:t>
      </w:r>
    </w:p>
    <w:p w14:paraId="4D005B51" w14:textId="77777777" w:rsidR="005E441E" w:rsidRDefault="005E441E" w:rsidP="005E441E">
      <w:r>
        <w:t>Assignment: Geog511 Research Review Part 1</w:t>
      </w:r>
    </w:p>
    <w:p w14:paraId="21BC0F7D" w14:textId="77777777" w:rsidR="005E441E" w:rsidRDefault="005E441E" w:rsidP="005E441E">
      <w:r>
        <w:t>Title: Geographies of Displacement in Ugandan Refugee Settlements</w:t>
      </w:r>
    </w:p>
    <w:p w14:paraId="46AAF8D0" w14:textId="0D8F9652" w:rsidR="005E441E" w:rsidRDefault="005E441E" w:rsidP="005E441E">
      <w:r>
        <w:t>Abstracts</w:t>
      </w:r>
      <w:r>
        <w:t xml:space="preserve"> + Reviews</w:t>
      </w:r>
      <w:r>
        <w:t>:</w:t>
      </w:r>
    </w:p>
    <w:p w14:paraId="28182B91" w14:textId="77777777" w:rsidR="005E441E" w:rsidRDefault="005E441E" w:rsidP="005E441E">
      <w:pPr>
        <w:pStyle w:val="ListParagraph"/>
        <w:numPr>
          <w:ilvl w:val="0"/>
          <w:numId w:val="1"/>
        </w:numPr>
      </w:pPr>
      <w:r w:rsidRPr="0032117B">
        <w:rPr>
          <w:b/>
          <w:bCs/>
        </w:rPr>
        <w:t>CE-RoadNet: A Cascaded Efficient Road Network for Road Extraction from High-Resolution Satellite Images</w:t>
      </w:r>
      <w:r>
        <w:t xml:space="preserve"> </w:t>
      </w:r>
      <w:r>
        <w:fldChar w:fldCharType="begin"/>
      </w:r>
      <w:r>
        <w:instrText xml:space="preserve"> ADDIN ZOTERO_ITEM CSL_CITATION {"citationID":"ozrhU0oY","properties":{"formattedCitation":"(Cheng et al., 2025)","plainCitation":"(Cheng et al., 2025)","noteIndex":0},"citationItems":[{"id":551,"uris":["http://zotero.org/users/14945297/items/862WH3XF"],"itemData":{"id":551,"type":"article-journal","abstract":"The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results.","container-title":"Remote Sensing","DOI":"10.3390/rs17050831","ISSN":"2072-4292","issue":"5","journalAbbreviation":"Remote Sensing","language":"en","license":"https://creativecommons.org/licenses/by/4.0/","page":"831","source":"DOI.org (Crossref)","title":"CE-RoadNet: A Cascaded Efficient Road Network for Road Extraction from High-Resolution Satellite Images","title-short":"CE-RoadNet","volume":"17","author":[{"family":"Cheng","given":"Ke-Nan"},{"family":"Ni","given":"Weiping"},{"family":"Zhang","given":"Han"},{"family":"Wu","given":"Junzheng"},{"family":"Xiao","given":"Xiao"},{"family":"Yang","given":"Zhigang"}],"issued":{"date-parts":[["2025",2,27]]},"citation-key":"chengCERoadNetCascadedEfficient2025"}}],"schema":"https://github.com/citation-style-language/schema/raw/master/csl-citation.json"} </w:instrText>
      </w:r>
      <w:r>
        <w:fldChar w:fldCharType="separate"/>
      </w:r>
      <w:r w:rsidRPr="00192EDA">
        <w:rPr>
          <w:rFonts w:ascii="Aptos" w:hAnsi="Aptos"/>
        </w:rPr>
        <w:t>(Cheng et al., 2025)</w:t>
      </w:r>
      <w:r>
        <w:fldChar w:fldCharType="end"/>
      </w:r>
    </w:p>
    <w:p w14:paraId="424C11A6" w14:textId="4EAA4C3F" w:rsidR="005E441E" w:rsidRDefault="005E441E" w:rsidP="005E441E">
      <w:pPr>
        <w:pStyle w:val="ListParagraph"/>
        <w:numPr>
          <w:ilvl w:val="1"/>
          <w:numId w:val="1"/>
        </w:numPr>
      </w:pPr>
      <w:r w:rsidRPr="005E441E">
        <w:rPr>
          <w:b/>
          <w:bCs/>
        </w:rPr>
        <w:t>Abstract:</w:t>
      </w:r>
      <w:r>
        <w:t xml:space="preserve"> </w:t>
      </w:r>
      <w:r w:rsidRPr="0032117B">
        <w: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w:t>
      </w:r>
    </w:p>
    <w:p w14:paraId="7190F071" w14:textId="5756B641" w:rsidR="005E441E" w:rsidRPr="005E441E" w:rsidRDefault="005E441E" w:rsidP="005E441E">
      <w:pPr>
        <w:pStyle w:val="ListParagraph"/>
        <w:numPr>
          <w:ilvl w:val="1"/>
          <w:numId w:val="1"/>
        </w:numPr>
      </w:pPr>
      <w:r>
        <w:rPr>
          <w:b/>
          <w:bCs/>
        </w:rPr>
        <w:t xml:space="preserve">Review: </w:t>
      </w:r>
    </w:p>
    <w:p w14:paraId="0F7779DD" w14:textId="0D998832" w:rsidR="005E441E" w:rsidRPr="005E441E" w:rsidRDefault="005E441E" w:rsidP="005E441E">
      <w:pPr>
        <w:pStyle w:val="ListParagraph"/>
        <w:numPr>
          <w:ilvl w:val="2"/>
          <w:numId w:val="1"/>
        </w:numPr>
        <w:rPr>
          <w:b/>
          <w:bCs/>
        </w:rPr>
      </w:pPr>
      <w:r w:rsidRPr="005E441E">
        <w:rPr>
          <w:b/>
          <w:bCs/>
        </w:rPr>
        <w:t>Key Findings:</w:t>
      </w:r>
      <w:r>
        <w:rPr>
          <w:b/>
          <w:bCs/>
        </w:rPr>
        <w:t xml:space="preserve"> </w:t>
      </w:r>
      <w:r>
        <w:t xml:space="preserve">Pioneers CE-RoadNet, a lightweight convolutional neural net (CNN) designed for accurate road extraction using very high resolution (VHR) remote sensing imagery. The model is proposed as an alternative to more computationally demanding techniques such as vision transformers (ViTs) and Graph Neural Nets (GNNs). The model achieved state of the art accuracy with lower complexity than previous models. </w:t>
      </w:r>
    </w:p>
    <w:p w14:paraId="59716C38" w14:textId="6AD39895" w:rsidR="005E441E" w:rsidRPr="00083CBF" w:rsidRDefault="005E441E" w:rsidP="00083CBF">
      <w:pPr>
        <w:pStyle w:val="ListParagraph"/>
        <w:numPr>
          <w:ilvl w:val="2"/>
          <w:numId w:val="1"/>
        </w:numPr>
        <w:rPr>
          <w:b/>
          <w:bCs/>
        </w:rPr>
      </w:pPr>
      <w:r w:rsidRPr="005E441E">
        <w:rPr>
          <w:b/>
          <w:bCs/>
        </w:rPr>
        <w:t>Novel Contributions to Disciplines and Subfields:</w:t>
      </w:r>
      <w:r w:rsidR="007559E4">
        <w:rPr>
          <w:b/>
          <w:bCs/>
        </w:rPr>
        <w:t xml:space="preserve"> </w:t>
      </w:r>
      <w:r w:rsidR="007559E4">
        <w:t xml:space="preserve">The study introduces various innovations in what might broadly be described as </w:t>
      </w:r>
      <w:r w:rsidR="007559E4">
        <w:lastRenderedPageBreak/>
        <w:t xml:space="preserve">the discipline of computational geography. </w:t>
      </w:r>
      <w:r w:rsidR="00E57AAC">
        <w:t>T</w:t>
      </w:r>
      <w:r w:rsidR="007559E4">
        <w:t xml:space="preserve">hey propose a number of novelties for convolutional neural network architectures for automated road extraction from high resolution remote sensing imagery. One such novelty is the use of smoothed dilated convolutional residual blocks. Roads in remote sensing imagery are narrow, continuous, and curvilinear, and detection models need to </w:t>
      </w:r>
      <w:r w:rsidR="00083CBF">
        <w:t xml:space="preserve">not only see </w:t>
      </w:r>
      <w:r w:rsidR="007559E4">
        <w:t>larg</w:t>
      </w:r>
      <w:r w:rsidR="00083CBF">
        <w:t>e</w:t>
      </w:r>
      <w:r w:rsidR="007559E4">
        <w:t xml:space="preserve"> contexts to identify </w:t>
      </w:r>
      <w:r w:rsidR="00083CBF">
        <w:t>long range road structure</w:t>
      </w:r>
      <w:r w:rsidR="007559E4">
        <w:t xml:space="preserve">, but also preserve fine details to identify road boundaries. These two priorities are sometimes at odds because </w:t>
      </w:r>
      <w:r w:rsidR="00083CBF">
        <w:t>global</w:t>
      </w:r>
      <w:r w:rsidR="007559E4">
        <w:t xml:space="preserve"> context is often achieved through down-sampling (resolution reduction), which smooths the fine details. </w:t>
      </w:r>
      <w:r w:rsidR="00083CBF">
        <w:t>The authors introduce a type of convolution to the network called a smoothed dilated convolution, which allows them to halve the number of down-sampling layers in the network while still capturing longe range road structure. The second proposed innovation is the Attention Guided Feature Fusion (AGFF) module</w:t>
      </w:r>
      <w:r w:rsidR="00F201FD">
        <w:t>, which helps the model determine which scale matters more at a given spatial location</w:t>
      </w:r>
      <w:r w:rsidR="00083CBF">
        <w:t>.</w:t>
      </w:r>
      <w:r w:rsidR="00F201FD">
        <w:t xml:space="preserve"> AGFF </w:t>
      </w:r>
      <w:r w:rsidR="00096B3B">
        <w:t>convolves</w:t>
      </w:r>
      <w:r w:rsidR="00F201FD">
        <w:t xml:space="preserve"> feature maps, or the outputs of convolutional layers at various depths of the model</w:t>
      </w:r>
      <w:r w:rsidR="00096B3B">
        <w:t>, generating attention maps which are then multiplied with their respective feature maps and combined. The fused layer helps the network create hierarchies of scale</w:t>
      </w:r>
      <w:r w:rsidR="0011757F">
        <w:t xml:space="preserve">, guiding it to, for example, prioritize fine scale information at road edges, and large-scale information to preserve continuity. The third innovation is the cascading network structure. The proposed CE-RoadNet stacks two encoder-decoder networks end to end. While this doubles the number of parameters in the model, the previous innovations reduce the computational complexity of the model to such an extent that the final model remains more computationally efficient than alternatives. The rationale behind the cascaded network design is that the first network produces a broad roadmap which may contain broken topologies and artifacts. This output </w:t>
      </w:r>
      <w:r w:rsidR="001B7D33">
        <w:t xml:space="preserve">is then concatenated with the original imagery and then fed into the second network, which serves to refine the image. </w:t>
      </w:r>
    </w:p>
    <w:p w14:paraId="3288615D" w14:textId="2ED90DDA" w:rsidR="005E441E" w:rsidRPr="005E441E" w:rsidRDefault="005E441E" w:rsidP="005E441E">
      <w:pPr>
        <w:pStyle w:val="ListParagraph"/>
        <w:numPr>
          <w:ilvl w:val="2"/>
          <w:numId w:val="1"/>
        </w:numPr>
        <w:rPr>
          <w:b/>
          <w:bCs/>
        </w:rPr>
      </w:pPr>
      <w:r w:rsidRPr="005E441E">
        <w:rPr>
          <w:b/>
          <w:bCs/>
        </w:rPr>
        <w:t>Further Research:</w:t>
      </w:r>
      <w:r w:rsidR="001B7D33">
        <w:rPr>
          <w:b/>
          <w:bCs/>
        </w:rPr>
        <w:t xml:space="preserve"> </w:t>
      </w:r>
      <w:r w:rsidR="001B7D33">
        <w:t xml:space="preserve">The authors intend to explore integration of other state of the art deep learning concepts for the purpose of road segmentation in future research. </w:t>
      </w:r>
    </w:p>
    <w:p w14:paraId="7B4DDB14" w14:textId="77777777" w:rsidR="005E441E" w:rsidRDefault="005E441E" w:rsidP="005E441E">
      <w:pPr>
        <w:pStyle w:val="ListParagraph"/>
        <w:numPr>
          <w:ilvl w:val="0"/>
          <w:numId w:val="1"/>
        </w:numPr>
      </w:pPr>
      <w:r w:rsidRPr="0032117B">
        <w:rPr>
          <w:b/>
          <w:bCs/>
        </w:rPr>
        <w:t>Constructing cities, deconstructing  scaling laws</w:t>
      </w:r>
      <w:r>
        <w:t xml:space="preserve"> </w:t>
      </w:r>
      <w:r>
        <w:fldChar w:fldCharType="begin"/>
      </w:r>
      <w:r>
        <w:instrText xml:space="preserve"> ADDIN ZOTERO_ITEM CSL_CITATION {"citationID":"1tUm2XLB","properties":{"formattedCitation":"(Arcaute et al., 2015)","plainCitation":"(Arcaute et al., 2015)","noteIndex":0},"citationItems":[{"id":1012,"uris":["http://zotero.org/users/14945297/items/X6TJ7NB5"],"itemData":{"id":1012,"type":"article-journal","abstract":"Cities can be characterized and modelled through different urban measures. Consistency within these observables is crucial in order to advance towards a science of cities. Bettencourt\n              et al\n              . have proposed that many of these urban measures can be predicted through universal scaling laws. We develop a framework to consistently define cities, using commuting to work and population density thresholds, and construct thousands of realizations of systems of cities with different boundaries for England and Wales. These serve as a laboratory for the scaling analysis of a large set of urban indicators. The analysis shows that population size alone does not provide us enough information to describe or predict the state of a city as previously proposed, indicating that the expected scaling laws are not corroborated. We found that most urban indicators scale linearly with city size, regardless of the definition of the urban boundaries. However, when nonlinear correlations are present, the exponent fluctuates considerably.","container-title":"Journal of The Royal Society Interface","DOI":"10.1098/rsif.2014.0745","ISSN":"1742-5689, 1742-5662","issue":"102","journalAbbreviation":"J. R. Soc. Interface.","language":"en","page":"20140745","source":"DOI.org (Crossref)","title":"Constructing cities, deconstructing scaling laws","volume":"12","author":[{"family":"Arcaute","given":"Elsa"},{"family":"Hatna","given":"Erez"},{"family":"Ferguson","given":"Peter"},{"family":"Youn","given":"Hyejin"},{"family":"Johansson","given":"Anders"},{"family":"Batty","given":"Michael"}],"issued":{"date-parts":[["2015",1]]},"citation-key":"arcauteConstructingCitiesDeconstructing2015"}}],"schema":"https://github.com/citation-style-language/schema/raw/master/csl-citation.json"} </w:instrText>
      </w:r>
      <w:r>
        <w:fldChar w:fldCharType="separate"/>
      </w:r>
      <w:r w:rsidRPr="00192EDA">
        <w:rPr>
          <w:rFonts w:ascii="Aptos" w:hAnsi="Aptos"/>
        </w:rPr>
        <w:t>(Arcaute et al., 2015)</w:t>
      </w:r>
      <w:r>
        <w:fldChar w:fldCharType="end"/>
      </w:r>
    </w:p>
    <w:p w14:paraId="74DA7CEF" w14:textId="2F312DC3" w:rsidR="005E441E" w:rsidRDefault="005E441E" w:rsidP="005E441E">
      <w:pPr>
        <w:pStyle w:val="ListParagraph"/>
        <w:numPr>
          <w:ilvl w:val="1"/>
          <w:numId w:val="1"/>
        </w:numPr>
      </w:pPr>
      <w:r w:rsidRPr="005E441E">
        <w:rPr>
          <w:b/>
          <w:bCs/>
        </w:rPr>
        <w:t>Abstract:</w:t>
      </w:r>
      <w:r>
        <w:t xml:space="preserve"> </w:t>
      </w:r>
      <w:r w:rsidRPr="0032117B">
        <w:t xml:space="preserve">Cities can be characterized and modelled through different urban measures. Consistency within these observables is crucial in order to </w:t>
      </w:r>
      <w:r w:rsidRPr="0032117B">
        <w:lastRenderedPageBreak/>
        <w:t>advance towards a science of cities. Bettencourt et al. have proposed that many of these urban measures can be predicted through universal scaling laws. We develop a framework to consistently define cities, using commuting to work and population density thresholds, and construct thousands of realizations of systems of cities with different boundaries for England and Wales. These serve as a laboratory for the scaling analysis of a large set of urban indicators. The analysis shows that population size alone does not provide us enough information to describe or predict the state of a city as previously proposed, indicating that the expected scaling laws are not corroborated. We found that most urban indicators scale linearly with city size, regardless of the definition of the urban boundaries. However, when nonlinear correlations are present, the exponent fluctuates considerably.</w:t>
      </w:r>
    </w:p>
    <w:p w14:paraId="257554F5" w14:textId="7095CF8A" w:rsidR="005E441E" w:rsidRPr="005E441E" w:rsidRDefault="005E441E" w:rsidP="005E441E">
      <w:pPr>
        <w:pStyle w:val="ListParagraph"/>
        <w:numPr>
          <w:ilvl w:val="1"/>
          <w:numId w:val="1"/>
        </w:numPr>
      </w:pPr>
      <w:r>
        <w:rPr>
          <w:b/>
          <w:bCs/>
        </w:rPr>
        <w:t>Review:</w:t>
      </w:r>
    </w:p>
    <w:p w14:paraId="7B7E1D77" w14:textId="7AC15670" w:rsidR="005E441E" w:rsidRPr="005E441E" w:rsidRDefault="005E441E" w:rsidP="005E441E">
      <w:pPr>
        <w:pStyle w:val="ListParagraph"/>
        <w:numPr>
          <w:ilvl w:val="2"/>
          <w:numId w:val="1"/>
        </w:numPr>
        <w:rPr>
          <w:b/>
          <w:bCs/>
        </w:rPr>
      </w:pPr>
      <w:r w:rsidRPr="005E441E">
        <w:rPr>
          <w:b/>
          <w:bCs/>
        </w:rPr>
        <w:t>Key Findings:</w:t>
      </w:r>
      <w:r w:rsidR="00DD31A1">
        <w:rPr>
          <w:b/>
          <w:bCs/>
        </w:rPr>
        <w:t xml:space="preserve"> </w:t>
      </w:r>
      <w:r w:rsidR="0042019C">
        <w:t xml:space="preserve">The study </w:t>
      </w:r>
      <w:r w:rsidR="00F11FB8">
        <w:t xml:space="preserve">reassesses claims made by Bettencourt et al. (2007) about how various urban indicators or characteristics of cities scale with the size of a cities population. Bettencourt et. al (2007) popularized the application of universal scaling laws, simple formulae derived from biological systems, to understand different aspects of urban life and how they change with population. Certain dimensions, termed ‘economies of scale’ were observed to scale sublinearly with population. These indicators were associated with infrastructure, such as road area. Other dimensions associated with individual human needs, such as jobs and water consumption, were observed to scale linearly with population size. Finally, indicators that were </w:t>
      </w:r>
      <w:r w:rsidR="0047077C">
        <w:t xml:space="preserve">deemed the result of social cooperation, such as scientific innovation or wealth creation, were observed to scale superlinearly. Arcaute et al. (2015), on the other hand, challenge these relationships by examining them across various urban contexts in England and Wales. They found that most urban indicators scale linearly with population size, and that deviations from linearity were mild and sometimes in the wrong conceptual regime. </w:t>
      </w:r>
    </w:p>
    <w:p w14:paraId="303D6AA6" w14:textId="7A6F3C5F" w:rsidR="005E441E" w:rsidRPr="005E441E" w:rsidRDefault="005E441E" w:rsidP="005E441E">
      <w:pPr>
        <w:pStyle w:val="ListParagraph"/>
        <w:numPr>
          <w:ilvl w:val="2"/>
          <w:numId w:val="1"/>
        </w:numPr>
        <w:rPr>
          <w:b/>
          <w:bCs/>
        </w:rPr>
      </w:pPr>
      <w:r w:rsidRPr="005E441E">
        <w:rPr>
          <w:b/>
          <w:bCs/>
        </w:rPr>
        <w:t>Novel Contributions to Disciplines and Subfields:</w:t>
      </w:r>
      <w:r w:rsidR="00336A4C">
        <w:rPr>
          <w:b/>
          <w:bCs/>
        </w:rPr>
        <w:t xml:space="preserve"> </w:t>
      </w:r>
      <w:r w:rsidR="00A13B1C">
        <w:t>Arcaute et al. (2015) make a few important contributions to the field of quantitative urbanization science. One important way in which this study diverges from Betencourt et al. (2007) is the approach to defining urban spaces. Arcaute et al. (2015) attempts to define cities using a reproduceable two-step clustering approach. In the first step, census wards are clustered based on population density</w:t>
      </w:r>
      <w:r w:rsidR="00F47B7C">
        <w:t xml:space="preserve">. In the second step, </w:t>
      </w:r>
      <w:r w:rsidR="00F47B7C">
        <w:lastRenderedPageBreak/>
        <w:t xml:space="preserve">outlying wards are assigned to different urban clusters by different commuter thresholds. The authors tested scaling laws across various different thresholds of population size and commuter % to account for a range of possible definitions of urban spaces. This approach differs significantly from Betencourt et al. (2007) which rely on diverse administrative units such as Metropolitan Statistical Areas and Larger Urban Zones for their analyses. Another novel contribution that Arcaute et al. make to the literature is their concept of ‘dragon-king’ cities. They observe the discrepancy between their results and previous applications of urban scaling laws and find that London plays a ‘special’ role in the urban systems throughout England and Wales. They posit that it’s position as a global city in a relatively small country affects the entire system, and makes it difficult to partition the rest of the urban network. </w:t>
      </w:r>
    </w:p>
    <w:p w14:paraId="3F312511" w14:textId="07A8F9A2" w:rsidR="005E441E" w:rsidRPr="005E441E" w:rsidRDefault="005E441E" w:rsidP="005E441E">
      <w:pPr>
        <w:pStyle w:val="ListParagraph"/>
        <w:numPr>
          <w:ilvl w:val="2"/>
          <w:numId w:val="1"/>
        </w:numPr>
        <w:rPr>
          <w:b/>
          <w:bCs/>
        </w:rPr>
      </w:pPr>
      <w:r w:rsidRPr="005E441E">
        <w:rPr>
          <w:b/>
          <w:bCs/>
        </w:rPr>
        <w:t>Further Research:</w:t>
      </w:r>
      <w:r w:rsidR="00750FB7">
        <w:rPr>
          <w:b/>
          <w:bCs/>
        </w:rPr>
        <w:t xml:space="preserve"> </w:t>
      </w:r>
      <w:r w:rsidR="00EC4BA6">
        <w:t xml:space="preserve">The authors suggest that the urban scaling law equation is insufficient for the study of many aspects of urban systems. They suggest that future work account for the diversity and heterogeneity of cities. Furthermore, considering global hubs such as London, they propose that such systems </w:t>
      </w:r>
      <w:r w:rsidR="00EC4BA6">
        <w:t>should be evaluated differently from their domestic counterparts.</w:t>
      </w:r>
    </w:p>
    <w:p w14:paraId="688CC568" w14:textId="77777777" w:rsidR="005E441E" w:rsidRDefault="005E441E" w:rsidP="005E441E">
      <w:pPr>
        <w:pStyle w:val="ListParagraph"/>
        <w:ind w:left="1440"/>
      </w:pPr>
    </w:p>
    <w:p w14:paraId="7CF7C199" w14:textId="77777777" w:rsidR="005E441E" w:rsidRDefault="005E441E" w:rsidP="005E441E">
      <w:pPr>
        <w:pStyle w:val="ListParagraph"/>
        <w:numPr>
          <w:ilvl w:val="0"/>
          <w:numId w:val="1"/>
        </w:numPr>
      </w:pPr>
      <w:r w:rsidRPr="0032117B">
        <w:rPr>
          <w:b/>
          <w:bCs/>
        </w:rPr>
        <w:t>Refugees’ home-making practices as assemblages: material &amp; symbolic features of housing settlements in the camp</w:t>
      </w:r>
      <w:r>
        <w:t xml:space="preserve"> </w:t>
      </w:r>
      <w:r>
        <w:fldChar w:fldCharType="begin"/>
      </w:r>
      <w:r>
        <w:instrText xml:space="preserve"> ADDIN ZOTERO_ITEM CSL_CITATION {"citationID":"5jDO7yc9","properties":{"formattedCitation":"(Alqub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fldChar w:fldCharType="separate"/>
      </w:r>
      <w:r w:rsidRPr="0032117B">
        <w:rPr>
          <w:rFonts w:ascii="Aptos" w:hAnsi="Aptos"/>
        </w:rPr>
        <w:t>(Alqub &amp; Matar, 2025)</w:t>
      </w:r>
      <w:r>
        <w:fldChar w:fldCharType="end"/>
      </w:r>
    </w:p>
    <w:p w14:paraId="47CB169F" w14:textId="091A9471" w:rsidR="005E441E" w:rsidRDefault="005E441E" w:rsidP="005E441E">
      <w:pPr>
        <w:pStyle w:val="ListParagraph"/>
        <w:numPr>
          <w:ilvl w:val="1"/>
          <w:numId w:val="1"/>
        </w:numPr>
      </w:pPr>
      <w:r w:rsidRPr="005E441E">
        <w:rPr>
          <w:b/>
          <w:bCs/>
        </w:rPr>
        <w:t>Abstract:</w:t>
      </w:r>
      <w:r>
        <w:t xml:space="preserve"> </w:t>
      </w:r>
      <w:r w:rsidRPr="0032117B">
        <w:t xml:space="preserve">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w:t>
      </w:r>
      <w:r w:rsidRPr="0032117B">
        <w:lastRenderedPageBreak/>
        <w:t>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w:t>
      </w:r>
      <w:r>
        <w:t>p.</w:t>
      </w:r>
      <w:r w:rsidRPr="0032117B">
        <w:t xml:space="preserve"> It also highlights how refugee agency actively co-produces the evolving camp beyond its original intent.</w:t>
      </w:r>
    </w:p>
    <w:p w14:paraId="0BA2FFC3" w14:textId="24B88F1B" w:rsidR="005E441E" w:rsidRPr="005E441E" w:rsidRDefault="005E441E" w:rsidP="005E441E">
      <w:pPr>
        <w:pStyle w:val="ListParagraph"/>
        <w:numPr>
          <w:ilvl w:val="1"/>
          <w:numId w:val="1"/>
        </w:numPr>
      </w:pPr>
      <w:r>
        <w:rPr>
          <w:b/>
          <w:bCs/>
        </w:rPr>
        <w:t>Review:</w:t>
      </w:r>
    </w:p>
    <w:p w14:paraId="63C28DED" w14:textId="409A38C5" w:rsidR="00336A4C" w:rsidRPr="001011AC" w:rsidRDefault="005E441E" w:rsidP="001011AC">
      <w:pPr>
        <w:pStyle w:val="ListParagraph"/>
        <w:numPr>
          <w:ilvl w:val="2"/>
          <w:numId w:val="1"/>
        </w:numPr>
        <w:rPr>
          <w:b/>
          <w:bCs/>
        </w:rPr>
      </w:pPr>
      <w:r w:rsidRPr="005E441E">
        <w:rPr>
          <w:b/>
          <w:bCs/>
        </w:rPr>
        <w:t>Key Findings:</w:t>
      </w:r>
      <w:r w:rsidR="00DD31A1">
        <w:rPr>
          <w:b/>
          <w:bCs/>
        </w:rPr>
        <w:t xml:space="preserve"> </w:t>
      </w:r>
      <w:r w:rsidR="00DD31A1">
        <w:t xml:space="preserve">The study reconceptualizes refugee camps </w:t>
      </w:r>
      <w:r w:rsidR="00336A4C">
        <w:t>through the lens of</w:t>
      </w:r>
      <w:r w:rsidR="00DD31A1">
        <w:t xml:space="preserve"> assemblage theory. Whereas refugee camps were previously thought of as static institutional spaces, the study shows </w:t>
      </w:r>
      <w:r w:rsidR="00336A4C">
        <w:t xml:space="preserve">that they are dynamic systems that are continuously reconfigured by their inhabitants. Home-making practices, which include material practices such as architectural changes and construction and non-material practices such as storytelling, empower the transformation of </w:t>
      </w:r>
      <w:r w:rsidR="001011AC">
        <w:t xml:space="preserve">refugee spaces, which are established under conditions of strict top-down control, into places laden with meaning. Alqub and Matar employ an array of ethnographic techniques and reveal the various ways in which refugee agency is practiced and constrained. </w:t>
      </w:r>
    </w:p>
    <w:p w14:paraId="6B2D7B1F" w14:textId="186DF110" w:rsidR="005E441E" w:rsidRPr="005E441E" w:rsidRDefault="005E441E" w:rsidP="005E441E">
      <w:pPr>
        <w:pStyle w:val="ListParagraph"/>
        <w:numPr>
          <w:ilvl w:val="2"/>
          <w:numId w:val="1"/>
        </w:numPr>
        <w:rPr>
          <w:b/>
          <w:bCs/>
        </w:rPr>
      </w:pPr>
      <w:r w:rsidRPr="005E441E">
        <w:rPr>
          <w:b/>
          <w:bCs/>
        </w:rPr>
        <w:t>Novel Contributions to Disciplines and Subfields:</w:t>
      </w:r>
      <w:r w:rsidR="00336A4C">
        <w:rPr>
          <w:b/>
          <w:bCs/>
        </w:rPr>
        <w:t xml:space="preserve"> </w:t>
      </w:r>
      <w:r w:rsidR="00336A4C">
        <w:t xml:space="preserve">This study makes various theoretical and methodological contributions to the </w:t>
      </w:r>
      <w:r w:rsidR="001011AC">
        <w:t>human geography and urbanization science in displacement contexts</w:t>
      </w:r>
      <w:r w:rsidR="00336A4C">
        <w:t xml:space="preserve">. </w:t>
      </w:r>
      <w:r w:rsidR="00383E7B">
        <w:t xml:space="preserve">Theoretically, </w:t>
      </w:r>
      <w:r w:rsidR="001011AC">
        <w:t xml:space="preserve">It applies assemblage theory to a novel context of Palestinian refugee camps in Jordan. Under this framework </w:t>
      </w:r>
      <w:r w:rsidR="00383E7B">
        <w:t xml:space="preserve">the study examines different instances of refugee agency not only as acts of resistance, but as distributed, enabled and constrained by material, non-material, human, and non-human linkages. Methodologically, the study is novel in its application of spatial ethnography and qualitative spatial analysis. The authors combined ethnography born from 62 semi-structured interviews across three refugee camps with sketches, AutoCAD architectural designs, and photography. </w:t>
      </w:r>
    </w:p>
    <w:p w14:paraId="4AD955F6" w14:textId="5C2868B2" w:rsidR="005E441E" w:rsidRPr="005E441E" w:rsidRDefault="005E441E" w:rsidP="005E441E">
      <w:pPr>
        <w:pStyle w:val="ListParagraph"/>
        <w:numPr>
          <w:ilvl w:val="2"/>
          <w:numId w:val="1"/>
        </w:numPr>
        <w:rPr>
          <w:b/>
          <w:bCs/>
        </w:rPr>
      </w:pPr>
      <w:r w:rsidRPr="005E441E">
        <w:rPr>
          <w:b/>
          <w:bCs/>
        </w:rPr>
        <w:t>Further Research:</w:t>
      </w:r>
      <w:r w:rsidR="00383E7B">
        <w:rPr>
          <w:b/>
          <w:bCs/>
        </w:rPr>
        <w:t xml:space="preserve"> </w:t>
      </w:r>
      <w:r w:rsidR="00383E7B">
        <w:t xml:space="preserve">The authors do not explicitly discuss directions for future research. However, </w:t>
      </w:r>
      <w:r w:rsidR="0011299E">
        <w:t xml:space="preserve">the narrow scope of their research suggests that comparative study’s could be a sensible future direction. It may </w:t>
      </w:r>
      <w:r w:rsidR="0011299E">
        <w:lastRenderedPageBreak/>
        <w:t xml:space="preserve">be illuminating to compare examinations of refugee agency and home-making practices across different cultural contexts, apparent levels of top-down control, and states of settlement permanence. Furthermore, the integration of quantitative spatial analysis and participatory methods could also enrich similar investigations. </w:t>
      </w:r>
    </w:p>
    <w:p w14:paraId="31395013" w14:textId="77777777" w:rsidR="005E441E" w:rsidRDefault="005E441E" w:rsidP="005E441E">
      <w:pPr>
        <w:pStyle w:val="ListParagraph"/>
        <w:ind w:left="1440"/>
      </w:pPr>
    </w:p>
    <w:p w14:paraId="112066BE" w14:textId="6FF7B73F" w:rsidR="005E441E" w:rsidRDefault="005E441E" w:rsidP="005E441E">
      <w:pPr>
        <w:rPr>
          <w:b/>
          <w:bCs/>
        </w:rPr>
      </w:pPr>
      <w:r w:rsidRPr="005E441E">
        <w:rPr>
          <w:b/>
          <w:bCs/>
        </w:rPr>
        <w:t>Research Gaps:</w:t>
      </w:r>
    </w:p>
    <w:p w14:paraId="0575792C" w14:textId="77777777" w:rsidR="00B6709C" w:rsidRDefault="00B6709C" w:rsidP="00B6709C">
      <w:pPr>
        <w:ind w:firstLine="720"/>
      </w:pPr>
      <w:r>
        <w:t xml:space="preserve">My research interests concern geographies of displacement. I am interested in doing research that closes data gaps in refugee systems, queries how refugee settlements evolve over time, and how ecology, culture, and systems of power co-produce space in various displacement settings. At the moment, my work focusses on the Uganda context, which is unique because of its lenient approach to top-down control of refugee settlements and refugee rights. The articles above address different dimensions of this work. </w:t>
      </w:r>
    </w:p>
    <w:p w14:paraId="06B642B6" w14:textId="77777777" w:rsidR="00B6709C" w:rsidRDefault="00B6709C" w:rsidP="00B6709C">
      <w:pPr>
        <w:ind w:firstLine="720"/>
      </w:pPr>
      <w:r>
        <w:t xml:space="preserve">Cheng et al. (2025) proposes a novel, topologically aware, and relatively lightweight deep learning model for mapping road networks using VHR remote sensing imagery. The article does not explicitly concern itself with displacement, or rural agrarian settings, and it will be interesting to test if it or similar models can be successfully repurposed or adapted for use in these contexts. Existing maps of roads in displacement contexts, such as those produced by Open Street Maps (OSM), are updated infrequently, and often omit pathways and other residential roadways. The rapid and accurate detection of roads in displacement contexts is important in advancing our understanding of how settlements evolve. </w:t>
      </w:r>
    </w:p>
    <w:p w14:paraId="1929FCA9" w14:textId="77777777" w:rsidR="00B6709C" w:rsidRDefault="00B6709C" w:rsidP="00B6709C">
      <w:pPr>
        <w:ind w:firstLine="720"/>
      </w:pPr>
      <w:r>
        <w:t>Alqub and Matar (2025) apply assemblage theory to refugee contexts to discover how refugees create “home” in displacement settings both materially and symbolically. The author’s limited their study area to Palestinian refugee camps in Jordan. It would be interesting to compare these processes across different displacement contexts (including different cultures and different administrative practices). Furthermore, I am interested in understanding morphological changes in refugee camps. Insights from this paper may inform future remote sensing or other computational geography approaches.</w:t>
      </w:r>
    </w:p>
    <w:p w14:paraId="7ACEB03D" w14:textId="77777777" w:rsidR="00B6709C" w:rsidRDefault="00B6709C" w:rsidP="00B6709C">
      <w:pPr>
        <w:ind w:firstLine="720"/>
      </w:pPr>
      <w:r>
        <w:t xml:space="preserve">Arcaute et al. (2015) challenges the findings of Bettencourt et al. (2007) on the application of universal scaling laws to various dimensions of urbanization science </w:t>
      </w:r>
      <w:r>
        <w:fldChar w:fldCharType="begin"/>
      </w:r>
      <w:r>
        <w:instrText xml:space="preserve"> ADDIN ZOTERO_ITEM CSL_CITATION {"citationID":"DD3YCTcE","properties":{"formattedCitation":"(Bettencourt et al., 2007)","plainCitation":"(Bettencourt et al., 2007)","noteIndex":0},"citationItems":[{"id":1121,"uris":["http://zotero.org/users/14945297/items/9PDVY9NK"],"itemData":{"id":1121,"type":"article-journal","abstract":"Humanity has just crossed a major landmark in its history with the majority of people now living in cities. Cities have long been known to be society's predominant engine of innovation and wealth creation, yet they are also its main source of crime, pollution, and disease. The inexorable trend toward urbanization worldwide presents an urgent challenge for developing a predictive, quantitative theory of urban organization and sustainable development. Here we present empirical evidence indicating that the processes relating urbanization to economic development and knowledge creation are very general, being shared by all cities belonging to the same urban system and sustained across different nations and times. Many diverse properties of cities from patent production and personal income to electrical cable length are shown to be power law functions of population size with scaling exponents, β, that fall into distinct universality classes. Quantities reflecting wealth creation and innovation have β ≈1.2 &gt;1 (increasing returns), whereas those accounting for infrastructure display β ≈0.8 &lt;1 (economies of scale). We predict that the pace of social life in the city increases with population size, in quantitative agreement with data, and we discuss how cities are similar to, and differ from, biological organisms, for which β&lt;1. Finally, we explore possible consequences of these scaling relations by deriving growth equations, which quantify the dramatic difference between growth fueled by innovation versus that driven by economies of scale. This difference suggests that, as population grows, major innovation cycles must be generated at a continually accelerating rate to sustain growth and avoid stagnation or collapse.","container-title":"Proceedings of the National Academy of Sciences","DOI":"10.1073/pnas.0610172104","ISSN":"0027-8424, 1091-6490","issue":"17","journalAbbreviation":"Proc. Natl. Acad. Sci. U.S.A.","language":"en","page":"7301-7306","source":"DOI.org (Crossref)","title":"Growth, innovation, scaling, and the pace of life in cities","volume":"104","author":[{"family":"Bettencourt","given":"Luís M. A."},{"family":"Lobo","given":"José"},{"family":"Helbing","given":"Dirk"},{"family":"Kühnert","given":"Christian"},{"family":"West","given":"Geoffrey B."}],"issued":{"date-parts":[["2007",4,24]]},"citation-key":"bettencourtGrowthInnovationScaling2007"}}],"schema":"https://github.com/citation-style-language/schema/raw/master/csl-citation.json"} </w:instrText>
      </w:r>
      <w:r>
        <w:fldChar w:fldCharType="separate"/>
      </w:r>
      <w:r w:rsidRPr="000227B5">
        <w:rPr>
          <w:rFonts w:ascii="Aptos" w:hAnsi="Aptos"/>
        </w:rPr>
        <w:t>(Bettencourt et al., 2007)</w:t>
      </w:r>
      <w:r>
        <w:fldChar w:fldCharType="end"/>
      </w:r>
      <w:r>
        <w:t xml:space="preserve">. The article applies techniques pioneered by Bettencourt et al. in various contexts globally and concludes that many of the proposed scaling relationships are conditional rather than universal. It would interesting to apply similar analyses in </w:t>
      </w:r>
      <w:r>
        <w:lastRenderedPageBreak/>
        <w:t xml:space="preserve">refugee contexts and examine how these relationships hold under the conditions that are peculiar to displacement. </w:t>
      </w:r>
    </w:p>
    <w:p w14:paraId="2D0C4130" w14:textId="77777777" w:rsidR="005E441E" w:rsidRDefault="005E441E" w:rsidP="005E441E"/>
    <w:p w14:paraId="4A2D90E6" w14:textId="77777777" w:rsidR="005E441E" w:rsidRDefault="005E441E" w:rsidP="005E441E">
      <w:r>
        <w:t>References:</w:t>
      </w:r>
    </w:p>
    <w:p w14:paraId="511CA5D0" w14:textId="77777777" w:rsidR="005E441E" w:rsidRPr="000227B5" w:rsidRDefault="005E441E" w:rsidP="005E441E">
      <w:pPr>
        <w:pStyle w:val="Bibliography"/>
        <w:rPr>
          <w:rFonts w:ascii="Aptos" w:hAnsi="Aptos"/>
        </w:rPr>
      </w:pPr>
      <w:r>
        <w:fldChar w:fldCharType="begin"/>
      </w:r>
      <w:r>
        <w:instrText xml:space="preserve"> ADDIN ZOTERO_BIBL {"uncited":[],"omitted":[],"custom":[]} CSL_BIBLIOGRAPHY </w:instrText>
      </w:r>
      <w:r>
        <w:fldChar w:fldCharType="separate"/>
      </w:r>
      <w:r w:rsidRPr="000227B5">
        <w:rPr>
          <w:rFonts w:ascii="Aptos" w:hAnsi="Aptos"/>
        </w:rPr>
        <w:t xml:space="preserve">Alqub, H., &amp; Matar, O. (2025). Refugees’ home-making practices as assemblages: Material &amp; symbolic features of housing settlements in the camp. </w:t>
      </w:r>
      <w:r w:rsidRPr="000227B5">
        <w:rPr>
          <w:rFonts w:ascii="Aptos" w:hAnsi="Aptos"/>
          <w:i/>
          <w:iCs/>
        </w:rPr>
        <w:t>World Development Perspectives</w:t>
      </w:r>
      <w:r w:rsidRPr="000227B5">
        <w:rPr>
          <w:rFonts w:ascii="Aptos" w:hAnsi="Aptos"/>
        </w:rPr>
        <w:t xml:space="preserve">, </w:t>
      </w:r>
      <w:r w:rsidRPr="000227B5">
        <w:rPr>
          <w:rFonts w:ascii="Aptos" w:hAnsi="Aptos"/>
          <w:i/>
          <w:iCs/>
        </w:rPr>
        <w:t>39</w:t>
      </w:r>
      <w:r w:rsidRPr="000227B5">
        <w:rPr>
          <w:rFonts w:ascii="Aptos" w:hAnsi="Aptos"/>
        </w:rPr>
        <w:t>, 100714. https://doi.org/10.1016/j.wdp.2025.100714</w:t>
      </w:r>
    </w:p>
    <w:p w14:paraId="531209BB" w14:textId="77777777" w:rsidR="005E441E" w:rsidRPr="000227B5" w:rsidRDefault="005E441E" w:rsidP="005E441E">
      <w:pPr>
        <w:pStyle w:val="Bibliography"/>
        <w:rPr>
          <w:rFonts w:ascii="Aptos" w:hAnsi="Aptos"/>
        </w:rPr>
      </w:pPr>
      <w:r w:rsidRPr="000227B5">
        <w:rPr>
          <w:rFonts w:ascii="Aptos" w:hAnsi="Aptos"/>
        </w:rPr>
        <w:t xml:space="preserve">Arcaute, E., Hatna, E., Ferguson, P., Youn, H., Johansson, A., &amp; Batty, M. (2015). Constructing cities, deconstructing scaling laws. </w:t>
      </w:r>
      <w:r w:rsidRPr="000227B5">
        <w:rPr>
          <w:rFonts w:ascii="Aptos" w:hAnsi="Aptos"/>
          <w:i/>
          <w:iCs/>
        </w:rPr>
        <w:t>Journal of The Royal Society Interface</w:t>
      </w:r>
      <w:r w:rsidRPr="000227B5">
        <w:rPr>
          <w:rFonts w:ascii="Aptos" w:hAnsi="Aptos"/>
        </w:rPr>
        <w:t xml:space="preserve">, </w:t>
      </w:r>
      <w:r w:rsidRPr="000227B5">
        <w:rPr>
          <w:rFonts w:ascii="Aptos" w:hAnsi="Aptos"/>
          <w:i/>
          <w:iCs/>
        </w:rPr>
        <w:t>12</w:t>
      </w:r>
      <w:r w:rsidRPr="000227B5">
        <w:rPr>
          <w:rFonts w:ascii="Aptos" w:hAnsi="Aptos"/>
        </w:rPr>
        <w:t>(102), 20140745. https://doi.org/10.1098/rsif.2014.0745</w:t>
      </w:r>
    </w:p>
    <w:p w14:paraId="760C3DB9" w14:textId="77777777" w:rsidR="005E441E" w:rsidRPr="000227B5" w:rsidRDefault="005E441E" w:rsidP="005E441E">
      <w:pPr>
        <w:pStyle w:val="Bibliography"/>
        <w:rPr>
          <w:rFonts w:ascii="Aptos" w:hAnsi="Aptos"/>
        </w:rPr>
      </w:pPr>
      <w:r w:rsidRPr="000227B5">
        <w:rPr>
          <w:rFonts w:ascii="Aptos" w:hAnsi="Aptos"/>
        </w:rPr>
        <w:t xml:space="preserve">Bettencourt, L. M. A., Lobo, J., Helbing, D., Kühnert, C., &amp; West, G. B. (2007). Growth, innovation, scaling, and the pace of life in cities. </w:t>
      </w:r>
      <w:r w:rsidRPr="000227B5">
        <w:rPr>
          <w:rFonts w:ascii="Aptos" w:hAnsi="Aptos"/>
          <w:i/>
          <w:iCs/>
        </w:rPr>
        <w:t>Proceedings of the National Academy of Sciences</w:t>
      </w:r>
      <w:r w:rsidRPr="000227B5">
        <w:rPr>
          <w:rFonts w:ascii="Aptos" w:hAnsi="Aptos"/>
        </w:rPr>
        <w:t xml:space="preserve">, </w:t>
      </w:r>
      <w:r w:rsidRPr="000227B5">
        <w:rPr>
          <w:rFonts w:ascii="Aptos" w:hAnsi="Aptos"/>
          <w:i/>
          <w:iCs/>
        </w:rPr>
        <w:t>104</w:t>
      </w:r>
      <w:r w:rsidRPr="000227B5">
        <w:rPr>
          <w:rFonts w:ascii="Aptos" w:hAnsi="Aptos"/>
        </w:rPr>
        <w:t>(17), 7301–7306. https://doi.org/10.1073/pnas.0610172104</w:t>
      </w:r>
    </w:p>
    <w:p w14:paraId="4EA8C689" w14:textId="77777777" w:rsidR="005E441E" w:rsidRPr="000227B5" w:rsidRDefault="005E441E" w:rsidP="005E441E">
      <w:pPr>
        <w:pStyle w:val="Bibliography"/>
        <w:rPr>
          <w:rFonts w:ascii="Aptos" w:hAnsi="Aptos"/>
        </w:rPr>
      </w:pPr>
      <w:r w:rsidRPr="000227B5">
        <w:rPr>
          <w:rFonts w:ascii="Aptos" w:hAnsi="Aptos"/>
        </w:rPr>
        <w:t xml:space="preserve">Cheng, K.-N., Ni, W., Zhang, H., Wu, J., Xiao, X., &amp; Yang, Z. (2025). CE-RoadNet: A Cascaded Efficient Road Network for Road Extraction from High-Resolution Satellite Images. </w:t>
      </w:r>
      <w:r w:rsidRPr="000227B5">
        <w:rPr>
          <w:rFonts w:ascii="Aptos" w:hAnsi="Aptos"/>
          <w:i/>
          <w:iCs/>
        </w:rPr>
        <w:t>Remote Sensing</w:t>
      </w:r>
      <w:r w:rsidRPr="000227B5">
        <w:rPr>
          <w:rFonts w:ascii="Aptos" w:hAnsi="Aptos"/>
        </w:rPr>
        <w:t xml:space="preserve">, </w:t>
      </w:r>
      <w:r w:rsidRPr="000227B5">
        <w:rPr>
          <w:rFonts w:ascii="Aptos" w:hAnsi="Aptos"/>
          <w:i/>
          <w:iCs/>
        </w:rPr>
        <w:t>17</w:t>
      </w:r>
      <w:r w:rsidRPr="000227B5">
        <w:rPr>
          <w:rFonts w:ascii="Aptos" w:hAnsi="Aptos"/>
        </w:rPr>
        <w:t>(5), 831. https://doi.org/10.3390/rs17050831</w:t>
      </w:r>
    </w:p>
    <w:p w14:paraId="3EAB9BA4" w14:textId="3BD55800" w:rsidR="00C61900" w:rsidRDefault="005E441E" w:rsidP="005E441E">
      <w:r>
        <w:fldChar w:fldCharType="end"/>
      </w:r>
    </w:p>
    <w:sectPr w:rsidR="00C61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654"/>
    <w:multiLevelType w:val="hybridMultilevel"/>
    <w:tmpl w:val="375C23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880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00"/>
    <w:rsid w:val="00083CBF"/>
    <w:rsid w:val="00096B3B"/>
    <w:rsid w:val="001011AC"/>
    <w:rsid w:val="0011299E"/>
    <w:rsid w:val="0011757F"/>
    <w:rsid w:val="001B7D33"/>
    <w:rsid w:val="00284B27"/>
    <w:rsid w:val="00333FF1"/>
    <w:rsid w:val="00336A4C"/>
    <w:rsid w:val="00372080"/>
    <w:rsid w:val="00383E7B"/>
    <w:rsid w:val="0042019C"/>
    <w:rsid w:val="0047077C"/>
    <w:rsid w:val="005E441E"/>
    <w:rsid w:val="007333C5"/>
    <w:rsid w:val="00750FB7"/>
    <w:rsid w:val="007559E4"/>
    <w:rsid w:val="00A13B1C"/>
    <w:rsid w:val="00B6709C"/>
    <w:rsid w:val="00C61900"/>
    <w:rsid w:val="00DD31A1"/>
    <w:rsid w:val="00E57AAC"/>
    <w:rsid w:val="00EC4BA6"/>
    <w:rsid w:val="00EE356D"/>
    <w:rsid w:val="00F11FB8"/>
    <w:rsid w:val="00F201FD"/>
    <w:rsid w:val="00F47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9528"/>
  <w15:chartTrackingRefBased/>
  <w15:docId w15:val="{1B0E267F-6BEB-464A-BBDF-83C769F64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1E"/>
  </w:style>
  <w:style w:type="paragraph" w:styleId="Heading1">
    <w:name w:val="heading 1"/>
    <w:basedOn w:val="Normal"/>
    <w:next w:val="Normal"/>
    <w:link w:val="Heading1Char"/>
    <w:uiPriority w:val="9"/>
    <w:qFormat/>
    <w:rsid w:val="00C61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00"/>
    <w:rPr>
      <w:rFonts w:eastAsiaTheme="majorEastAsia" w:cstheme="majorBidi"/>
      <w:color w:val="272727" w:themeColor="text1" w:themeTint="D8"/>
    </w:rPr>
  </w:style>
  <w:style w:type="paragraph" w:styleId="Title">
    <w:name w:val="Title"/>
    <w:basedOn w:val="Normal"/>
    <w:next w:val="Normal"/>
    <w:link w:val="TitleChar"/>
    <w:uiPriority w:val="10"/>
    <w:qFormat/>
    <w:rsid w:val="00C6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00"/>
    <w:pPr>
      <w:spacing w:before="160"/>
      <w:jc w:val="center"/>
    </w:pPr>
    <w:rPr>
      <w:i/>
      <w:iCs/>
      <w:color w:val="404040" w:themeColor="text1" w:themeTint="BF"/>
    </w:rPr>
  </w:style>
  <w:style w:type="character" w:customStyle="1" w:styleId="QuoteChar">
    <w:name w:val="Quote Char"/>
    <w:basedOn w:val="DefaultParagraphFont"/>
    <w:link w:val="Quote"/>
    <w:uiPriority w:val="29"/>
    <w:rsid w:val="00C61900"/>
    <w:rPr>
      <w:i/>
      <w:iCs/>
      <w:color w:val="404040" w:themeColor="text1" w:themeTint="BF"/>
    </w:rPr>
  </w:style>
  <w:style w:type="paragraph" w:styleId="ListParagraph">
    <w:name w:val="List Paragraph"/>
    <w:basedOn w:val="Normal"/>
    <w:uiPriority w:val="34"/>
    <w:qFormat/>
    <w:rsid w:val="00C61900"/>
    <w:pPr>
      <w:ind w:left="720"/>
      <w:contextualSpacing/>
    </w:pPr>
  </w:style>
  <w:style w:type="character" w:styleId="IntenseEmphasis">
    <w:name w:val="Intense Emphasis"/>
    <w:basedOn w:val="DefaultParagraphFont"/>
    <w:uiPriority w:val="21"/>
    <w:qFormat/>
    <w:rsid w:val="00C61900"/>
    <w:rPr>
      <w:i/>
      <w:iCs/>
      <w:color w:val="0F4761" w:themeColor="accent1" w:themeShade="BF"/>
    </w:rPr>
  </w:style>
  <w:style w:type="paragraph" w:styleId="IntenseQuote">
    <w:name w:val="Intense Quote"/>
    <w:basedOn w:val="Normal"/>
    <w:next w:val="Normal"/>
    <w:link w:val="IntenseQuoteChar"/>
    <w:uiPriority w:val="30"/>
    <w:qFormat/>
    <w:rsid w:val="00C61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900"/>
    <w:rPr>
      <w:i/>
      <w:iCs/>
      <w:color w:val="0F4761" w:themeColor="accent1" w:themeShade="BF"/>
    </w:rPr>
  </w:style>
  <w:style w:type="character" w:styleId="IntenseReference">
    <w:name w:val="Intense Reference"/>
    <w:basedOn w:val="DefaultParagraphFont"/>
    <w:uiPriority w:val="32"/>
    <w:qFormat/>
    <w:rsid w:val="00C61900"/>
    <w:rPr>
      <w:b/>
      <w:bCs/>
      <w:smallCaps/>
      <w:color w:val="0F4761" w:themeColor="accent1" w:themeShade="BF"/>
      <w:spacing w:val="5"/>
    </w:rPr>
  </w:style>
  <w:style w:type="paragraph" w:styleId="Bibliography">
    <w:name w:val="Bibliography"/>
    <w:basedOn w:val="Normal"/>
    <w:next w:val="Normal"/>
    <w:uiPriority w:val="37"/>
    <w:unhideWhenUsed/>
    <w:rsid w:val="005E441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7</Pages>
  <Words>3942</Words>
  <Characters>22475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22</cp:revision>
  <dcterms:created xsi:type="dcterms:W3CDTF">2025-11-13T03:48:00Z</dcterms:created>
  <dcterms:modified xsi:type="dcterms:W3CDTF">2025-11-13T11:01:00Z</dcterms:modified>
</cp:coreProperties>
</file>