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CLOUD INFRASTRUCTURE SERVICES AGREEMENT</w:t>
      </w:r>
    </w:p>
    <w:p xmlns:w="http://schemas.openxmlformats.org/wordprocessingml/2006/main">
      <w:r>
        <w:t xml:space="preserve">This Cloud Infrastructure Services Agreement ("Agreement") is entered into as of May 29, 2025 ("Effective Date") by and between Alpine Data Systems, Inc., a Colorado corporation with its principal place of business in Denver, Colorado ("Vendor"), and Zava, Inc., a Delaware corporation ("Client"). This Agreement governs the provision of cloud infrastructure, managed services, and related professional services by Vendor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Vendor shall provide Client with cloud infrastructure services, including managed cloud hosting, infrastructure provisioning, monitoring, incident response, and related professional services as more fully described in one or more Statements of Work ("SOW") executed by the parties from time to time and incorporated herein by reference (collectively, the "Services"). Vendor shall perform all Services in a professional and workmanlike manner consistent with industry standards applicable to the provision of cloud infrastructure services. Vendor shall designate a primary account manager and a technical lead to serve as Client's primary points of contact for all matters related to the Services.</w:t>
      </w:r>
    </w:p>
    <w:p xmlns:w="http://schemas.openxmlformats.org/wordprocessingml/2006/main">
      <w:r>
        <w:t xml:space="preserve">In performing the Services, Vendor shall comply with all applicable laws, regulations, and industry standards, including those related to data privacy, cybersecurity, and export controls. Vendor shall promptly notify Client of any material change in its technical capabilities, staffing, or financial condition that could reasonably be expected to affect Vendor's ability to perform the Services.</w:t>
      </w:r>
    </w:p>
    <w:p xmlns:w="http://schemas.openxmlformats.org/wordprocessingml/2006/main"/>
    <w:p xmlns:w="http://schemas.openxmlformats.org/wordprocessingml/2006/main">
      <w:pPr>
        <w:pStyle w:val="Heading2"/>
      </w:pPr>
      <w:r>
        <w:t>2. Term and Renewal</w:t>
      </w:r>
    </w:p>
    <w:p xmlns:w="http://schemas.openxmlformats.org/wordprocessingml/2006/main">
      <w:r>
        <w:t xml:space="preserve">This Agreement shall commence on the Effective Date and shall remain in effect for a period of one (1) year, expiring on May 29, 2026 ("Initial Term"), unless earlier terminated pursuant to Section 5. Following the Initial Term, this Agreement shall automatically renew for successive one-year terms unless either Party provides at least sixty (60) days' prior written notice of its intent not to renew before the expiration of the then-current term. Each automatic renewal term shall be subject to the same terms and conditions as set forth herein, provided that Vendor may adjust its fees for any renewal term upon no less than sixty (60) days' advance written notice to Client.</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Vendor fees in the aggregate amount of four hundred ten thousand dollars ($410,000) per year, payable in monthly installments of thirty-four thousand one hundred sixty-seven dollars ($34,167) per month, due within forty-five (45) days of the invoice date ("Net 45"). Vendor shall submit invoices on the first business day of each calendar month for services rendered in that month. Overdue amounts shall bear interest at a rate of one and one-half percent (1.5%) per month, compounded monthly, or the maximum rate permitted by applicable law, whichever is less. Client shall provide written notice of any disputed invoice amounts within fifteen (15) business days of receipt; failure to timely object shall constitute acceptance of the invoice. All fees are stated in U.S. dollars and are exclusive of applicable sales, use, or other taxes.</w:t>
      </w:r>
    </w:p>
    <w:p xmlns:w="http://schemas.openxmlformats.org/wordprocessingml/2006/main"/>
    <w:p xmlns:w="http://schemas.openxmlformats.org/wordprocessingml/2006/main">
      <w:pPr>
        <w:pStyle w:val="Heading2"/>
      </w:pPr>
      <w:r>
        <w:t>4. Data Security</w:t>
      </w:r>
    </w:p>
    <w:p xmlns:w="http://schemas.openxmlformats.org/wordprocessingml/2006/main">
      <w:r>
        <w:t xml:space="preserve">Vendor shall implement and maintain a comprehensive information security program that includes administrative, technical, and physical safeguards appropriate to the sensitivity of Client Data processed under this Agreement. Such safeguards shall include, without limitation: (a) encryption of Client Data in transit and at rest using industry-standard protocols; (b) access controls limiting access to Client Data to personnel with a need to know; (c) regular security assessments and penetration testing; (d) incident response procedures providing for prompt notification to Client of any actual or suspected security breach. Vendor shall notify Client within forty-eight (48) hours of discovering any security incident involving Client Data. Vendor shall maintain all Client Data in accordance with a data retention and destruction policy approved in writing by Client.</w:t>
      </w:r>
    </w:p>
    <w:p xmlns:w="http://schemas.openxmlformats.org/wordprocessingml/2006/main"/>
    <w:p xmlns:w="http://schemas.openxmlformats.org/wordprocessingml/2006/main">
      <w:pPr>
        <w:pStyle w:val="Heading2"/>
      </w:pPr>
      <w:r>
        <w:t>4a. Data Protection Addendum</w:t>
      </w:r>
    </w:p>
    <w:p xmlns:w="http://schemas.openxmlformats.org/wordprocessingml/2006/main">
      <w:r>
        <w:t xml:space="preserve">The Parties have executed a Data Security and Processing Addendum ("DSPA"), attached hereto as Exhibit C, which governs Alpine's handling of Zava data including customer records, internal systems data, and any personal information processed in connection with the cloud infrastructure services.</w:t>
      </w:r>
    </w:p>
    <w:p xmlns:w="http://schemas.openxmlformats.org/wordprocessingml/2006/main"/>
    <w:p xmlns:w="http://schemas.openxmlformats.org/wordprocessingml/2006/main">
      <w:pPr>
        <w:pStyle w:val="Heading2"/>
      </w:pPr>
      <w:r>
        <w:t>5. Termination</w:t>
      </w:r>
    </w:p>
    <w:p xmlns:w="http://schemas.openxmlformats.org/wordprocessingml/2006/main">
      <w:r>
        <w:t xml:space="preserve">Either Party may terminate this Agreement for convenience by providing sixty (60) days' prior written notice to the other Party. Either Party may terminate this Agreement for cause immediately upon written notice if the other Party: (a) materially breaches this Agreement and fails to cure such breach within thirty (30) days after receiving written notice specifying the breach in reasonable detail; (b) repeatedly breaches this Agreement even if each individual breach is cured; (c) becomes insolvent, makes an assignment for the benefit of creditors, or becomes subject to any bankruptcy, insolvency, or similar proceeding; or (d) ceases to conduct business in the ordinary course. Upon expiration or termination, Vendor shall provide Client with a complete copy of all Client Data in a mutually agreed-upon format within ten (10) business days, and shall thereafter destroy all copies of Client Data in Vendor's possession, certifying such destruction in writing.</w:t>
      </w:r>
    </w:p>
    <w:p xmlns:w="http://schemas.openxmlformats.org/wordprocessingml/2006/main"/>
    <w:p xmlns:w="http://schemas.openxmlformats.org/wordprocessingml/2006/main">
      <w:pPr>
        <w:pStyle w:val="Heading2"/>
      </w:pPr>
      <w:r>
        <w:t>6. Service Level Commitments</w:t>
      </w:r>
    </w:p>
    <w:p xmlns:w="http://schemas.openxmlformats.org/wordprocessingml/2006/main">
      <w:r>
        <w:t xml:space="preserve">Vendor shall maintain a monthly uptime availability of ninety-nine and nine-tenths percent (99.9%) for all production systems covered under this Agreement, measured on a calendar-month basis and excluding scheduled maintenance windows communicated to Client at least seventy-two (72) hours in advance. In the event Vendor fails to meet the applicable Service Level in any calendar month, Client shall be entitled to a service credit equal to ten percent (10%) of the monthly fees for each full percentage point below the applicable Service Level, up to a maximum credit of fifty percent (50%) of the monthly fee. Service credits shall be applied to the next invoice and shall constitute Client's sole and exclusive remedy for service level failures.</w:t>
      </w:r>
    </w:p>
    <w:p xmlns:w="http://schemas.openxmlformats.org/wordprocessingml/2006/main"/>
    <w:p xmlns:w="http://schemas.openxmlformats.org/wordprocessingml/2006/main">
      <w:pPr>
        <w:pStyle w:val="Heading2"/>
      </w:pPr>
      <w:r>
        <w:t>7. Intellectual Property</w:t>
      </w:r>
    </w:p>
    <w:p xmlns:w="http://schemas.openxmlformats.org/wordprocessingml/2006/main">
      <w:r>
        <w:t xml:space="preserve">Client retains all right, title, and interest in and to Client Data and any materials provided by Client to Vendor for use in connection with the Services ("Client Materials"). Vendor retains all right, title, and interest in and to its pre-existing intellectual property, tools, methodologies, and any improvements thereto developed in the course of providing the Services that are of general applicability and do not incorporate Client Materials or Confidential Information ("Vendor IP"). Any work product developed by Vendor specifically for Client and paid for by Client as a custom deliverable under a SOW ("Custom Deliverables") shall be considered work made for hire and shall be owned exclusively by Client; to the extent any Custom Deliverable does not qualify as work made for hire, Vendor hereby irrevocably assigns all right, title, and interest therein to Client.</w:t>
      </w:r>
    </w:p>
    <w:p xmlns:w="http://schemas.openxmlformats.org/wordprocessingml/2006/main"/>
    <w:p xmlns:w="http://schemas.openxmlformats.org/wordprocessingml/2006/main">
      <w:pPr>
        <w:pStyle w:val="Heading2"/>
      </w:pPr>
      <w:r>
        <w:t>8. Insurance</w:t>
      </w:r>
    </w:p>
    <w:p xmlns:w="http://schemas.openxmlformats.org/wordprocessingml/2006/main">
      <w:r>
        <w:t xml:space="preserve">Throughout the Term, Vendor shall maintain at its own expense the following insurance coverages: (a) Commercial General Liability insurance with limits of not less than two million dollars ($2,000,000) per occurrence and five million dollars ($5,000,000) in the aggregate; (b) Professional Liability (Errors and Omissions) insurance with limits of not less than two million dollars ($2,000,000) per claim and in the aggregate; (c) Cyber Liability insurance with limits of not less than five million dollars ($5,000,000) per occurrence; (d) Workers' Compensation insurance as required by applicable law. Vendor shall name Client as an additional insured on its Commercial General Liability and Cyber Liability policies and shall provide Client with certificates of insurance evidencing the foregoing coverages upon request.</w:t>
      </w:r>
    </w:p>
    <w:p xmlns:w="http://schemas.openxmlformats.org/wordprocessingml/2006/main"/>
    <w:p xmlns:w="http://schemas.openxmlformats.org/wordprocessingml/2006/main">
      <w:pPr>
        <w:pStyle w:val="Heading2"/>
      </w:pPr>
      <w:r>
        <w:t>9. Confidentiality</w:t>
      </w:r>
    </w:p>
    <w:p xmlns:w="http://schemas.openxmlformats.org/wordprocessingml/2006/main">
      <w:r>
        <w:t xml:space="preserve">Each Party agrees to hold the other Party's Confidential Information in strict confidence and not to disclose such information to any third party without the prior written consent of the disclosing Party, except as required by law or as necessary for the performance of this Agreement. "Confidential Information" includes, without limitation, technical data, trade secrets, business plans, customer lists, financial information, pricing, and any other information designated as confidential. Each Party shall limit disclosure of Confidential Information to employees, contractors, and advisors who have a legitimate need to know and who are bound by confidentiality obligations no less protective than those set forth herein. The confidentiality obligations of this Section shall survive termination of this Agreement for a period of five (5) years.</w:t>
      </w:r>
    </w:p>
    <w:p xmlns:w="http://schemas.openxmlformats.org/wordprocessingml/2006/main"/>
    <w:p xmlns:w="http://schemas.openxmlformats.org/wordprocessingml/2006/main">
      <w:pPr>
        <w:pStyle w:val="Heading2"/>
      </w:pPr>
      <w:r>
        <w:t>10. Limitation of Liability</w:t>
      </w:r>
    </w:p>
    <w:p xmlns:w="http://schemas.openxmlformats.org/wordprocessingml/2006/main">
      <w:r>
        <w:t xml:space="preserve">IN NO EVENT SHALL EITHER PARTY BE LIABLE FOR ANY INDIRECT, INCIDENTAL, CONSEQUENTIAL, SPECIAL, PUNITIVE, OR EXEMPLARY DAMAGES, INCLUDING LOST PROFITS, LOSS OF DATA, OR LOSS OF GOODWILL, ARISING OUT OF OR IN CONNECTION WITH THIS AGREEMENT, EVEN IF ADVISED OF THE POSSIBILITY OF SUCH DAMAGES. VENDOR'S TOTAL CUMULATIVE LIABILITY TO CLIENT UNDER THIS AGREEMENT, WHETHER IN CONTRACT, TORT (INCLUDING NEGLIGENCE), OR OTHERWISE, SHALL NOT EXCEED THE TOTAL FEES PAID OR PAYABLE BY CLIENT TO VENDOR DURING THE TWELVE (12) MONTHS IMMEDIATELY PRECEDING THE EVENT GIVING RISE TO THE CLAIM, WHICH THE PARTIES ACKNOWLEDGE SHALL NOT EXCEED FOUR HUNDRED TEN THOUSAND DOLLARS ($410,000). THE FOREGOING LIMITATIONS SHALL NOT APPLY TO EITHER PARTY'S INDEMNIFICATION OBLIGATIONS, OR TO LIABILITY ARISING FROM FRAUD, WILLFUL MISCONDUCT, OR GROSS NEGLIGENCE.</w:t>
      </w:r>
    </w:p>
    <w:p xmlns:w="http://schemas.openxmlformats.org/wordprocessingml/2006/main"/>
    <w:p xmlns:w="http://schemas.openxmlformats.org/wordprocessingml/2006/main">
      <w:pPr>
        <w:pStyle w:val="Heading2"/>
      </w:pPr>
      <w:r>
        <w:t>11. Indemnification</w:t>
      </w:r>
    </w:p>
    <w:p xmlns:w="http://schemas.openxmlformats.org/wordprocessingml/2006/main">
      <w:r>
        <w:t xml:space="preserve">Vendor shall defend, indemnify, and hold harmless Client and its officers, directors, employees, and agents from and against any and all claims, damages, losses, costs, and expenses (including reasonable attorneys' fees) arising out of or relating to: (a) Vendor's breach of this Agreement; (b) Vendor's negligence or willful misconduct; (c) any claim by a third party arising from services performed by Vendor's subcontractors, agents, or affiliated service providers, including without limitation Fabrikam Holdings, LLC, Datum Corporation, and Proseware, Inc., which Vendor has engaged to perform data migration, staff augmentation, and quality assurance services respectively under this Agreement. Client's indemnification obligations to Vendor are limited to claims arising from Client's gross negligence or willful misconduct.</w:t>
      </w:r>
    </w:p>
    <w:p xmlns:w="http://schemas.openxmlformats.org/wordprocessingml/2006/main">
      <w:r>
        <w:t xml:space="preserve">The Party seeking indemnification ("Indemnified Party") shall: (i) provide the indemnifying Party with prompt written notice of the claim; (ii) grant the indemnifying Party sole authority to defend and settle the claim; and (iii) provide the indemnifying Party with reasonable cooperation and assistance in the defense, at the indemnifying Party's expense. The indemnifying Party shall not settle any claim in a manner that imposes any obligation or liability on the Indemnified Party without the Indemnified Party's prior written consent, which shall not be unreasonably withheld.</w:t>
      </w:r>
    </w:p>
    <w:p xmlns:w="http://schemas.openxmlformats.org/wordprocessingml/2006/main"/>
    <w:p xmlns:w="http://schemas.openxmlformats.org/wordprocessingml/2006/main">
      <w:pPr>
        <w:pStyle w:val="Heading2"/>
      </w:pPr>
      <w:r>
        <w:t>12. Subcontractor Approval</w:t>
      </w:r>
    </w:p>
    <w:p xmlns:w="http://schemas.openxmlformats.org/wordprocessingml/2006/main">
      <w:r>
        <w:t xml:space="preserve">Client hereby acknowledges and approves Alpine Data Systems' engagement of the following subcontractors in connection with the Services under this Agreement, subject to the confidentiality obligations set forth herein: (i) Fabrikam Holdings, LLC, for data migration staffing support; (ii) Datum Corporation, for software integration and API development services; and (iii) Proseware, Inc., for quality assurance, testing, and validation services. Vendor shall ensure that all approved subcontractors execute confidentiality agreements substantially similar to those contained herein prior to commencing any work, and shall remain responsible for the performance and compliance of all approved subcontractors.</w:t>
      </w:r>
    </w:p>
    <w:p xmlns:w="http://schemas.openxmlformats.org/wordprocessingml/2006/main">
      <w:r>
        <w:t xml:space="preserve">Vendor shall not engage any subcontractors other than those listed in this Section without Client's prior written consent. If Client approves additional subcontractors, Vendor shall update this Section by written amendment. Vendor shall monitor approved subcontractors' performance and promptly notify Client of any material performance deficiencies or compliance concerns.</w:t>
      </w:r>
    </w:p>
    <w:p xmlns:w="http://schemas.openxmlformats.org/wordprocessingml/2006/main"/>
    <w:p xmlns:w="http://schemas.openxmlformats.org/wordprocessingml/2006/main">
      <w:pPr>
        <w:pStyle w:val="Heading2"/>
      </w:pPr>
      <w:r>
        <w:t>13. Dispute Resolution</w:t>
      </w:r>
    </w:p>
    <w:p xmlns:w="http://schemas.openxmlformats.org/wordprocessingml/2006/main">
      <w:r>
        <w:t xml:space="preserve">Any dispute, controversy, or claim arising out of or relating to this Agreement, including its formation, validity, breach, or termination, shall be resolved by binding arbitration administered by JAMS pursuant to its Streamlined Arbitration Rules and Procedures. The arbitration shall be conducted in Denver, Colorado by a single arbitrator with expertise in commercial technology contracts. The arbitrator shall have authority to award any remedy or relief that a court of competent jurisdiction could order, including specific performance and injunctive relief. The arbitration shall be conducted on a confidential basis and neither party shall disclose the existence, content, or results of any arbitration without the prior written consent of the other Party, except as required by law. Judgment on the award may be entered in any court of competent jurisdiction.</w:t>
      </w:r>
    </w:p>
    <w:p xmlns:w="http://schemas.openxmlformats.org/wordprocessingml/2006/main"/>
    <w:p xmlns:w="http://schemas.openxmlformats.org/wordprocessingml/2006/main">
      <w:pPr>
        <w:pStyle w:val="Heading2"/>
      </w:pPr>
      <w:r>
        <w:t>14. Governing Law</w:t>
      </w:r>
    </w:p>
    <w:p xmlns:w="http://schemas.openxmlformats.org/wordprocessingml/2006/main">
      <w:r>
        <w:t xml:space="preserve">This Agreement shall be governed by and construed in accordance with the laws of the State of Colorado, without regard to its conflict of laws principles. All arbitration proceedings shall be conducted in Denver, Colorado. For purposes of enforcing any arbitration award or seeking interim injunctive relief, each Party consents to the exclusive jurisdiction of the state and federal courts located in Denver, Colorado.</w:t>
      </w:r>
    </w:p>
    <w:p xmlns:w="http://schemas.openxmlformats.org/wordprocessingml/2006/main"/>
    <w:p xmlns:w="http://schemas.openxmlformats.org/wordprocessingml/2006/main">
      <w:pPr>
        <w:pStyle w:val="Heading2"/>
      </w:pPr>
      <w:r>
        <w:t>15. General Provisions</w:t>
      </w:r>
    </w:p>
    <w:p xmlns:w="http://schemas.openxmlformats.org/wordprocessingml/2006/main">
      <w:r>
        <w:t xml:space="preserve">This Agreement, together with all SOWs and exhibits, constitutes the entire agreement between the parties with respect to its subject matter and supersedes all prior agreements and understandings. No amendment shall be valid unless made in writing and signed by authorized representatives of both parties. Neither Party may assign this Agreement without the prior written consent of the other, except in connection with a merger, acquisition, or sale of substantially all assets. If any provision is held unenforceable, the remaining provisions shall remain in full force and effect. Notices shall be in writing and delivered by email with confirmation or overnight courier to the addresses set forth on the signature page.</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ALPINE DATA SYSTEMS,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r>
        <w:t xml:space="preserve">Date: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r>
        <w:t xml:space="preserve">Date: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