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MASTER SERVICES AGREEMENT</w:t>
      </w:r>
    </w:p>
    <w:p xmlns:w="http://schemas.openxmlformats.org/wordprocessingml/2006/main">
      <w:r>
        <w:t xml:space="preserve">This Master Services Agreement ("Agreement") is entered into as of April 21, 2025 ("Effective Date") by and between Contoso Services, Inc., a Washington corporation with its principal place of business in Seattle, Washington ("Service Provider"), and Zava, Inc., a Delaware corporation ("Client"). This Agreement establishes the general terms and conditions under which Service Provider will provide information technology and professional services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Service Provider shall provide Client with IT services, technical consulting, project management, and related professional services as described in individual Statements of Work executed pursuant to this Agreement. All Services shall be performed in a professional and workmanlike manner by qualified personnel with the skills and experience reasonably necessary to perform the Services. Service Provider shall assign a dedicated project manager to coordinate delivery and serve as Client's primary point of contact. Service Provider may utilize subcontractors or third-party vendors to assist in performing the Services, subject to the provisions of Section 8.</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the Effective Date and shall remain in effect for an initial term of one (1) year, expiring on April 21, 2026, unless terminated earlier as provided herein. This Agreement shall automatically renew for successive one-year periods unless either Party provides written notice of intent not to renew no later than sixty (60) days prior to the expiration of the then-current term. Accordingly, to prevent automatic renewal of the Initial Term, Client must deliver written notice of non-renewal no later than February 20, 2026. Failure to deliver timely written notice shall result in automatic renewal and Client's obligation to pay fees for the renewed term. Each Statement of Work shall specify its own commencement and completion dates.</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Service Provider fees in the aggregate amount of three hundred forty thousand dollars ($340,000) per year, invoiced monthly in equal installments of twenty-eight thousand three hundred thirty-three dollars ($28,333). Payment is due within thirty (30) days of invoice receipt. Overdue balances shall accrue interest at the lesser of one and one-half percent (1.5%) per month or the maximum rate permitted by applicable law. Service Provider reserves the right to suspend Services upon thirty (30) days' written notice if any invoice remains unpaid beyond sixty (60) days of its due date. All fees are exclusive of applicable taxes, which shall be the sole responsibility of Client.</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Client shall own all work product, deliverables, documentation, and other materials created specifically for Client under a Statement of Work ("Deliverables"), and Service Provider hereby assigns to Client all right, title, and interest in and to such Deliverables, including all intellectual property rights therein. Service Provider retains ownership of its pre-existing tools, methodologies, frameworks, and templates ("Background IP"). To the extent any Deliverable incorporates Background IP, Service Provider grants Client a non-exclusive, royalty-free, perpetual license to use such Background IP solely in connection with Client's use of the Deliverable.</w:t>
      </w:r>
    </w:p>
    <w:p xmlns:w="http://schemas.openxmlformats.org/wordprocessingml/2006/main"/>
    <w:p xmlns:w="http://schemas.openxmlformats.org/wordprocessingml/2006/main">
      <w:pPr>
        <w:pStyle w:val="Heading2"/>
      </w:pPr>
      <w:r>
        <w:t>5. Confidentiality</w:t>
      </w:r>
    </w:p>
    <w:p xmlns:w="http://schemas.openxmlformats.org/wordprocessingml/2006/main">
      <w:r>
        <w:t xml:space="preserve">Both parties shall maintain the confidentiality of the other party's Confidential Information and shall not disclose such information to third parties without prior written consent. Each party shall use the other's Confidential Information solely in connection with the performance of its obligations under this Agreement. The receiving party shall protect Confidential Information with at least the same degree of care used to protect its own confidential information, and no less than reasonable care. These obligations shall survive termination of this Agreement for a period of three (3) years, except with respect to trade secrets, for which the obligations shall continue for so long as the information constitutes a trade secret under applicable law.</w:t>
      </w:r>
    </w:p>
    <w:p xmlns:w="http://schemas.openxmlformats.org/wordprocessingml/2006/main"/>
    <w:p xmlns:w="http://schemas.openxmlformats.org/wordprocessingml/2006/main">
      <w:pPr>
        <w:pStyle w:val="Heading2"/>
      </w:pPr>
      <w:r>
        <w:t>6. Statement of Work No. 1 (Zava Digital Transformation Initiative)</w:t>
      </w:r>
    </w:p>
    <w:p xmlns:w="http://schemas.openxmlformats.org/wordprocessingml/2006/main">
      <w:r>
        <w:t xml:space="preserve">This Statement of Work No. 1 ("SOW-1") describes the scope, timeline, resources, and deliverables for the Zava Digital Transformation Initiative, a multi-phase engagement encompassing legacy system migration, process re-engineering, cloud adoption, and organizational change management. Phase 1 encompasses requirements gathering, current-state assessment, and the development of a technology roadmap aligned with Client's three-year strategic plan. Phase 2 encompasses the migration of core business systems to a cloud-native architecture, integration with Client's enterprise resource planning and customer relationship management platforms, and the delivery of user training and adoption support. Phase 3 encompasses post-implementation optimization, performance tuning, and the transition of ongoing maintenance responsibilities to Client's internal IT organization.</w:t>
      </w:r>
    </w:p>
    <w:p xmlns:w="http://schemas.openxmlformats.org/wordprocessingml/2006/main">
      <w:r>
        <w:t xml:space="preserve">Resource commitments under SOW-1 include the assignment of two senior technology consultants, one project manager, and up to three junior analysts on a full-time equivalent basis throughout the engagement. Pursuant to the staffing augmentation provisions of this Statement of Work, Contoso Services shall coordinate with Fabrikam Holdings, LLC for temporary staffing augmentation as described in Exhibit B. Both parties acknowledge that personnel provided under this coordination shall be subject to the non-solicitation provisions of Zava's existing agreements with each respective provider.</w:t>
      </w:r>
    </w:p>
    <w:p xmlns:w="http://schemas.openxmlformats.org/wordprocessingml/2006/main">
      <w:r>
        <w:t xml:space="preserve">Deliverables under SOW-1 include a Current State Assessment Report, Technology Roadmap, Migration Runbook, Training Materials, and a Post-Implementation Review Report. All Deliverables are subject to Client's review and written acceptance within ten (10) business days of delivery; Deliverables not rejected in writing within such period shall be deemed accepted. Service Provider shall provide a project status report on a bi-weekly basis throughout the engagement.</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this Agreement for cause immediately upon written notice if the other Party materially breaches this Agreement and fails to cure such breach within thirty (30) days after receiving written notice specifying the breach in reasonable detail. In addition, either Party may terminate for cause immediately if the other Party becomes insolvent, makes an assignment for the benefit of creditors, or is subject to bankruptcy or insolvency proceedings. Upon termination, Client shall pay Service Provider for all Services satisfactorily performed through the date of termination on a pro-rata basis.</w:t>
      </w:r>
    </w:p>
    <w:p xmlns:w="http://schemas.openxmlformats.org/wordprocessingml/2006/main"/>
    <w:p xmlns:w="http://schemas.openxmlformats.org/wordprocessingml/2006/main">
      <w:pPr>
        <w:pStyle w:val="Heading2"/>
      </w:pPr>
      <w:r>
        <w:t>8. Third-Party Subcontractor Indemnification</w:t>
      </w:r>
    </w:p>
    <w:p xmlns:w="http://schemas.openxmlformats.org/wordprocessingml/2006/main">
      <w:r>
        <w:t xml:space="preserve">Service Provider shall defend, indemnify, and hold harmless Client from and against any claims, liabilities, losses, costs, and expenses (including attorneys' fees) arising out of or related to the acts or omissions of any third-party subcontractor, personnel provider, or staffing agency engaged by Service Provider in connection with any Statement of Work under this Agreement, including without limitation any claims related to employment classification, wage and hour disputes, non-solicitation violations, or intellectual property infringement by such third parties.</w:t>
      </w:r>
    </w:p>
    <w:p xmlns:w="http://schemas.openxmlformats.org/wordprocessingml/2006/main">
      <w:r>
        <w:t xml:space="preserve">For the avoidance of doubt, this indemnification obligation extends to any claims asserted by or on behalf of any personnel placed through a staffing intermediary, including claims for misclassification, co-employment liability, or benefits eligibility, and to any claims brought by a third-party staffing provider against Client alleging non-solicitation violations arising from personnel who transition to direct employment with Client during or after the term of any Statement of Work. Service Provider shall maintain adequate insurance to cover its indemnification obligations hereunder and shall provide evidence of such coverage upon Client's reasonable request.</w:t>
      </w:r>
    </w:p>
    <w:p xmlns:w="http://schemas.openxmlformats.org/wordprocessingml/2006/main"/>
    <w:p xmlns:w="http://schemas.openxmlformats.org/wordprocessingml/2006/main">
      <w:pPr>
        <w:pStyle w:val="Heading2"/>
      </w:pPr>
      <w:r>
        <w:t>9. Limitation of Liability</w:t>
      </w:r>
    </w:p>
    <w:p xmlns:w="http://schemas.openxmlformats.org/wordprocessingml/2006/main">
      <w:r>
        <w:t xml:space="preserve">EXCEPT FOR EACH PARTY'S INDEMNIFICATION OBLIGATIONS AND BREACHES OF CONFIDENTIALITY, NEITHER PARTY SHALL BE LIABLE TO THE OTHER FOR ANY INDIRECT, INCIDENTAL, CONSEQUENTIAL, SPECIAL, PUNITIVE, OR EXEMPLARY DAMAGES. SERVICE PROVIDER'S TOTAL LIABILITY TO CLIENT UNDER THIS AGREEMENT SHALL NOT EXCEED THREE HUNDRED FORTY THOUSAND DOLLARS ($340,000), REPRESENTING THE TOTAL ANNUAL CONTRACT VALUE. THIS LIMITATION APPLIES REGARDLESS OF THE FORM OF ACTION AND WHETHER THE CLAIM IS IN CONTRACT, TORT, OR OTHERWISE.</w:t>
      </w:r>
    </w:p>
    <w:p xmlns:w="http://schemas.openxmlformats.org/wordprocessingml/2006/main"/>
    <w:p xmlns:w="http://schemas.openxmlformats.org/wordprocessingml/2006/main">
      <w:pPr>
        <w:pStyle w:val="Heading2"/>
      </w:pPr>
      <w:r>
        <w:t>10. Dispute Resolution</w:t>
      </w:r>
    </w:p>
    <w:p xmlns:w="http://schemas.openxmlformats.org/wordprocessingml/2006/main">
      <w:r>
        <w:t xml:space="preserve">Any disputes arising out of or relating to this Agreement shall be resolved exclusively in the state or federal courts located in King County, Washington. Each Party irrevocably consents to the personal jurisdiction of such courts and waives any objection based on improper venue or inconvenient forum. Prior to initiating litigation, the parties shall attempt to resolve any dispute through good-faith executive-level negotiations for a period of no less than thirty (30) days following written notice identifying the nature of the dispute in reasonable detail.</w:t>
      </w:r>
    </w:p>
    <w:p xmlns:w="http://schemas.openxmlformats.org/wordprocessingml/2006/main"/>
    <w:p xmlns:w="http://schemas.openxmlformats.org/wordprocessingml/2006/main">
      <w:pPr>
        <w:pStyle w:val="Heading2"/>
      </w:pPr>
      <w:r>
        <w:t>11. Governing Law</w:t>
      </w:r>
    </w:p>
    <w:p xmlns:w="http://schemas.openxmlformats.org/wordprocessingml/2006/main">
      <w:r>
        <w:t xml:space="preserve">This Agreement shall be governed by and construed in accordance with the laws of the State of Washington, without giving effect to any choice of law or conflict of law provisions.</w:t>
      </w:r>
    </w:p>
    <w:p xmlns:w="http://schemas.openxmlformats.org/wordprocessingml/2006/main"/>
    <w:p xmlns:w="http://schemas.openxmlformats.org/wordprocessingml/2006/main">
      <w:pPr>
        <w:pStyle w:val="Heading2"/>
      </w:pPr>
      <w:r>
        <w:t>12. General Provisions</w:t>
      </w:r>
    </w:p>
    <w:p xmlns:w="http://schemas.openxmlformats.org/wordprocessingml/2006/main">
      <w:r>
        <w:t xml:space="preserve">This Agreement and all SOWs and exhibits constitute the entire agreement between the parties concerning its subject matter and supersede all prior negotiations, representations, and agreements. Amendments must be in writing and signed by both parties. Neither party may assign this Agreement without the other's written consent, except in connection with a corporate reorganization, merger, or acquisition. If any provision is held invalid or unenforceable by a court of competent jurisdiction, the remaining provisions shall remain in full force and effect.</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CONTOSO SERVICES,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r>
        <w:t xml:space="preserve">Date: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