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_rels/chart7.xml.rels" ContentType="application/vnd.openxmlformats-package.relationships+xml"/>
  <Override PartName="/word/charts/_rels/chart6.xml.rels" ContentType="application/vnd.openxmlformats-package.relationships+xml"/>
  <Override PartName="/word/charts/_rels/chart5.xml.rels" ContentType="application/vnd.openxmlformats-package.relationships+xml"/>
  <Override PartName="/word/charts/_rels/chart4.xml.rels" ContentType="application/vnd.openxmlformats-package.relationships+xml"/>
  <Override PartName="/word/charts/_rels/chart3.xml.rels" ContentType="application/vnd.openxmlformats-package.relationships+xml"/>
  <Override PartName="/word/charts/_rels/chart2.xml.rels" ContentType="application/vnd.openxmlformats-package.relationships+xml"/>
  <Override PartName="/word/charts/_rels/chart1.xml.rels" ContentType="application/vnd.openxmlformats-package.relationship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chart3.xml" ContentType="application/vnd.openxmlformats-officedocument.drawingml.chart+xml"/>
  <Override PartName="/word/charts/chart4.xml" ContentType="application/vnd.openxmlformats-officedocument.drawingml.chart+xml"/>
  <Override PartName="/word/charts/chart5.xml" ContentType="application/vnd.openxmlformats-officedocument.drawingml.chart+xml"/>
  <Override PartName="/word/charts/chart6.xml" ContentType="application/vnd.openxmlformats-officedocument.drawingml.chart+xml"/>
  <Override PartName="/word/charts/chart7.xml" ContentType="application/vnd.openxmlformats-officedocument.drawingml.chart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embeddings/ChartData1.xlsx" ContentType="application/vnd.openxmlformats-officedocument.spreadsheetml.sheet"/>
  <Override PartName="/word/embeddings/ChartData2.xlsx" ContentType="application/vnd.openxmlformats-officedocument.spreadsheetml.sheet"/>
  <Override PartName="/word/embeddings/ChartData3.xlsx" ContentType="application/vnd.openxmlformats-officedocument.spreadsheetml.sheet"/>
  <Override PartName="/word/embeddings/ChartData4.xlsx" ContentType="application/vnd.openxmlformats-officedocument.spreadsheetml.sheet"/>
  <Override PartName="/word/embeddings/ChartData5.xlsx" ContentType="application/vnd.openxmlformats-officedocument.spreadsheetml.sheet"/>
  <Override PartName="/word/embeddings/ChartData6.xlsx" ContentType="application/vnd.openxmlformats-officedocument.spreadsheetml.sheet"/>
  <Override PartName="/word/embeddings/ChartData7.xlsx" ContentType="application/vnd.openxmlformats-officedocument.spreadsheetml.sheet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napToGrid w:val="false"/>
        <w:rPr>
          <w:rFonts w:asciiTheme="majorHAnsi" w:cstheme="majorBidi" w:eastAsiaTheme="majorEastAsia" w:hAnsiTheme="majorHAnsi"/>
          <w:b/>
          <w:bCs/>
          <w:color w:val="3465A4"/>
          <w:highlight w:val="none"/>
          <w:shd w:fill="auto" w:val="clear"/>
        </w:rPr>
      </w:pPr>
      <w:r>
        <w:rPr>
          <w:rFonts w:asciiTheme="majorHAnsi" w:cstheme="majorBidi" w:eastAsiaTheme="majorEastAsia" w:hAnsiTheme="majorHAnsi"/>
          <w:b/>
          <w:bCs/>
          <w:color w:val="3465A4"/>
          <w:shd w:fill="auto" w:val="clear"/>
        </w:rPr>
        <w:t xml:space="preserve">03 </w:t>
      </w:r>
      <w:r>
        <w:rPr>
          <w:rFonts w:asciiTheme="majorHAnsi" w:cstheme="majorBidi" w:eastAsiaTheme="majorEastAsia" w:hAnsiTheme="majorHAnsi"/>
          <w:b/>
          <w:bCs/>
          <w:color w:val="3465A4"/>
          <w:shd w:fill="auto" w:val="clear"/>
        </w:rPr>
        <w:t>菌群组成与群落结构</w:t>
      </w:r>
    </w:p>
    <w:p>
      <w:pPr>
        <w:pStyle w:val="Normal"/>
        <w:keepNext w:val="false"/>
        <w:snapToGrid w:val="false"/>
        <w:spacing w:before="0" w:after="60"/>
        <w:rPr/>
      </w:pPr>
      <w:r>
        <w:rPr>
          <w:b w:val="false"/>
        </w:rPr>
        <w:t>本章展示菌群的主要组成、优势与核心成员，以及与参考人群的比较。</w:t>
      </w:r>
    </w:p>
    <w:p>
      <w:pPr>
        <w:pStyle w:val="Normal"/>
        <w:keepNext w:val="false"/>
        <w:snapToGrid w:val="false"/>
        <w:spacing w:before="0" w:after="120"/>
        <w:rPr>
          <w:b w:val="false"/>
          <w:sz w:val="18"/>
        </w:rPr>
      </w:pPr>
      <w:r>
        <w:rPr/>
      </w:r>
    </w:p>
    <w:p>
      <w:pPr>
        <w:pStyle w:val="Heading1"/>
        <w:snapToGrid w:val="false"/>
        <w:rPr>
          <w:rFonts w:asciiTheme="majorHAnsi" w:cstheme="majorBidi" w:eastAsiaTheme="majorEastAsia" w:hAnsiTheme="majorHAnsi"/>
          <w:color w:val="EA7500"/>
          <w:highlight w:val="none"/>
          <w:shd w:fill="auto" w:val="clear"/>
        </w:rPr>
      </w:pPr>
      <w:r>
        <w:rPr>
          <w:rFonts w:asciiTheme="majorHAnsi" w:cstheme="majorBidi" w:eastAsiaTheme="majorEastAsia" w:hAnsiTheme="majorHAnsi"/>
          <w:color w:val="EA7500"/>
          <w:shd w:fill="auto" w:val="clear"/>
        </w:rPr>
        <w:t xml:space="preserve">3.1 </w:t>
      </w:r>
      <w:r>
        <w:rPr>
          <w:rFonts w:asciiTheme="majorHAnsi" w:cstheme="majorBidi" w:eastAsiaTheme="majorEastAsia" w:hAnsiTheme="majorHAnsi"/>
          <w:color w:val="EA7500"/>
          <w:shd w:fill="auto" w:val="clear"/>
        </w:rPr>
        <w:t>菌群分类与相对丰度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3 1  </w:t>
      </w:r>
      <w:r>
        <w:rPr>
          <w:b/>
          <w:sz w:val="20"/>
        </w:rPr>
        <w:t>门水平群落组成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w:drawing>
          <wp:inline distT="0" distB="0" distL="0" distR="0">
            <wp:extent cx="6400800" cy="1005840"/>
            <wp:effectExtent l="0" t="0" r="0" b="0"/>
            <wp:docPr id="1" name="Chart 1" descr="门水平组成占位图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"/>
              </a:graphicData>
            </a:graphic>
          </wp:inline>
        </w:drawing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3 2  </w:t>
      </w:r>
      <w:r>
        <w:rPr>
          <w:b/>
          <w:sz w:val="20"/>
        </w:rPr>
        <w:t>属水平与种水平主要成员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w:drawing>
          <wp:inline distT="0" distB="0" distL="0" distR="0">
            <wp:extent cx="3136265" cy="1828800"/>
            <wp:effectExtent l="0" t="0" r="0" b="0"/>
            <wp:docPr id="2" name="Chart 2" descr="属水平主要成员占位图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  <w:r>
        <w:rPr/>
        <w:t xml:space="preserve">  </w:t>
      </w:r>
      <w:r>
        <w:rPr/>
        <w:drawing>
          <wp:inline distT="0" distB="0" distL="0" distR="0">
            <wp:extent cx="3136265" cy="1828800"/>
            <wp:effectExtent l="0" t="0" r="0" b="0"/>
            <wp:docPr id="3" name="Chart 3" descr="种水平主要成员占位图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p>
      <w:pPr>
        <w:pStyle w:val="Normal"/>
        <w:keepNext w:val="false"/>
        <w:snapToGrid w:val="false"/>
        <w:spacing w:before="0" w:after="80"/>
        <w:rPr/>
      </w:pPr>
      <w:r>
        <w:rPr>
          <w:b w:val="false"/>
          <w:sz w:val="18"/>
        </w:rPr>
        <w:t>横向条形长度表示相对丰度。完整分类清单见附录【页码或表号】。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1439"/>
        <w:gridCol w:w="6711"/>
        <w:gridCol w:w="2016"/>
      </w:tblGrid>
      <w:tr>
        <w:trPr>
          <w:tblHeader w:val="true"/>
          <w:cantSplit w:val="true"/>
        </w:trPr>
        <w:tc>
          <w:tcPr>
            <w:tcW w:w="14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/>
                <w:sz w:val="20"/>
              </w:rPr>
              <w:t>分类层级</w:t>
            </w:r>
          </w:p>
        </w:tc>
        <w:tc>
          <w:tcPr>
            <w:tcW w:w="67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/>
                <w:sz w:val="20"/>
              </w:rPr>
              <w:t>主要类群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/>
                <w:sz w:val="20"/>
              </w:rPr>
              <w:t>相对丰度</w:t>
            </w:r>
          </w:p>
        </w:tc>
      </w:tr>
      <w:tr>
        <w:trPr>
          <w:cantSplit w:val="true"/>
        </w:trPr>
        <w:tc>
          <w:tcPr>
            <w:tcW w:w="14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门</w:t>
            </w:r>
          </w:p>
        </w:tc>
        <w:tc>
          <w:tcPr>
            <w:tcW w:w="67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【类群名称】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  <w:r>
              <w:rPr>
                <w:b w:val="false"/>
                <w:sz w:val="20"/>
              </w:rPr>
              <w:t>%</w:t>
            </w:r>
          </w:p>
        </w:tc>
      </w:tr>
      <w:tr>
        <w:trPr>
          <w:cantSplit w:val="true"/>
        </w:trPr>
        <w:tc>
          <w:tcPr>
            <w:tcW w:w="14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纲</w:t>
            </w:r>
          </w:p>
        </w:tc>
        <w:tc>
          <w:tcPr>
            <w:tcW w:w="67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【类群名称】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  <w:r>
              <w:rPr>
                <w:b w:val="false"/>
                <w:sz w:val="20"/>
              </w:rPr>
              <w:t>%</w:t>
            </w:r>
          </w:p>
        </w:tc>
      </w:tr>
      <w:tr>
        <w:trPr>
          <w:cantSplit w:val="true"/>
        </w:trPr>
        <w:tc>
          <w:tcPr>
            <w:tcW w:w="14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目</w:t>
            </w:r>
          </w:p>
        </w:tc>
        <w:tc>
          <w:tcPr>
            <w:tcW w:w="67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【类群名称】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  <w:r>
              <w:rPr>
                <w:b w:val="false"/>
                <w:sz w:val="20"/>
              </w:rPr>
              <w:t>%</w:t>
            </w:r>
          </w:p>
        </w:tc>
      </w:tr>
      <w:tr>
        <w:trPr>
          <w:cantSplit w:val="true"/>
        </w:trPr>
        <w:tc>
          <w:tcPr>
            <w:tcW w:w="14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科</w:t>
            </w:r>
          </w:p>
        </w:tc>
        <w:tc>
          <w:tcPr>
            <w:tcW w:w="67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【类群名称】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  <w:r>
              <w:rPr>
                <w:b w:val="false"/>
                <w:sz w:val="20"/>
              </w:rPr>
              <w:t>%</w:t>
            </w:r>
          </w:p>
        </w:tc>
      </w:tr>
      <w:tr>
        <w:trPr>
          <w:cantSplit w:val="true"/>
        </w:trPr>
        <w:tc>
          <w:tcPr>
            <w:tcW w:w="14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属</w:t>
            </w:r>
          </w:p>
        </w:tc>
        <w:tc>
          <w:tcPr>
            <w:tcW w:w="67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【类群名称】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  <w:r>
              <w:rPr>
                <w:b w:val="false"/>
                <w:sz w:val="20"/>
              </w:rPr>
              <w:t>%</w:t>
            </w:r>
          </w:p>
        </w:tc>
      </w:tr>
      <w:tr>
        <w:trPr>
          <w:cantSplit w:val="true"/>
        </w:trPr>
        <w:tc>
          <w:tcPr>
            <w:tcW w:w="143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种</w:t>
            </w:r>
          </w:p>
        </w:tc>
        <w:tc>
          <w:tcPr>
            <w:tcW w:w="671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【类群名称】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  <w:r>
              <w:rPr>
                <w:b w:val="false"/>
                <w:sz w:val="20"/>
              </w:rPr>
              <w:t>%</w:t>
            </w:r>
          </w:p>
        </w:tc>
      </w:tr>
    </w:tbl>
    <w:p>
      <w:pPr>
        <w:pStyle w:val="Normal"/>
        <w:keepNext w:val="false"/>
        <w:snapToGrid w:val="false"/>
        <w:spacing w:before="0" w:after="40"/>
        <w:rPr/>
      </w:pPr>
      <w:r>
        <w:rPr/>
      </w:r>
    </w:p>
    <w:p>
      <w:pPr>
        <w:pStyle w:val="Normal"/>
        <w:keepNext w:val="false"/>
        <w:snapToGrid w:val="false"/>
        <w:spacing w:before="0" w:after="0"/>
        <w:rPr/>
      </w:pPr>
      <w:r>
        <w:rPr>
          <w:b w:val="false"/>
        </w:rPr>
        <w:t>结果解读  【用一至两句话概括主要组成特征】</w:t>
      </w:r>
      <w:r>
        <w:br w:type="page"/>
      </w:r>
    </w:p>
    <w:p>
      <w:pPr>
        <w:pStyle w:val="Heading1"/>
        <w:snapToGrid w:val="false"/>
        <w:rPr>
          <w:color w:val="EA7500"/>
        </w:rPr>
      </w:pPr>
      <w:r>
        <w:rPr>
          <w:color w:val="EA7500"/>
        </w:rPr>
        <w:t xml:space="preserve">3.2 </w:t>
      </w:r>
      <w:r>
        <w:rPr>
          <w:color w:val="EA7500"/>
        </w:rPr>
        <w:t>优势物种与核心菌群</w:t>
      </w:r>
    </w:p>
    <w:p>
      <w:pPr>
        <w:pStyle w:val="Normal"/>
        <w:keepNext w:val="false"/>
        <w:snapToGrid w:val="false"/>
        <w:spacing w:before="0" w:after="120"/>
        <w:rPr/>
      </w:pPr>
      <w:r>
        <w:rPr>
          <w:b w:val="false"/>
          <w:sz w:val="20"/>
        </w:rPr>
        <w:t>优势物种【待填】    参考核心菌群定义【待填】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3 3  </w:t>
      </w:r>
      <w:r>
        <w:rPr>
          <w:b/>
          <w:sz w:val="20"/>
        </w:rPr>
        <w:t>优势物种排序与核心菌群检出概况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w:drawing>
          <wp:inline distT="0" distB="0" distL="0" distR="0">
            <wp:extent cx="3657600" cy="2331720"/>
            <wp:effectExtent l="0" t="0" r="0" b="0"/>
            <wp:docPr id="4" name="Chart 4" descr="优势物种排序占位图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  <w:r>
        <w:rPr/>
        <w:drawing>
          <wp:inline distT="0" distB="0" distL="0" distR="0">
            <wp:extent cx="2697480" cy="2331720"/>
            <wp:effectExtent l="0" t="0" r="0" b="0"/>
            <wp:docPr id="5" name="Chart 5" descr="核心菌群检出占位图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6192"/>
        <w:gridCol w:w="3973"/>
      </w:tblGrid>
      <w:tr>
        <w:trPr>
          <w:tblHeader w:val="true"/>
          <w:cantSplit w:val="true"/>
        </w:trPr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/>
                <w:sz w:val="20"/>
              </w:rPr>
              <w:t>组成指标</w:t>
            </w:r>
          </w:p>
        </w:tc>
        <w:tc>
          <w:tcPr>
            <w:tcW w:w="3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/>
                <w:sz w:val="20"/>
              </w:rPr>
              <w:t>本次结果</w:t>
            </w:r>
          </w:p>
        </w:tc>
      </w:tr>
      <w:tr>
        <w:trPr>
          <w:cantSplit w:val="true"/>
        </w:trPr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丰度最高的物种</w:t>
            </w:r>
          </w:p>
        </w:tc>
        <w:tc>
          <w:tcPr>
            <w:tcW w:w="3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【物种名称】</w:t>
            </w:r>
          </w:p>
        </w:tc>
      </w:tr>
      <w:tr>
        <w:trPr>
          <w:cantSplit w:val="true"/>
        </w:trPr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第一优势物种占比</w:t>
            </w:r>
          </w:p>
        </w:tc>
        <w:tc>
          <w:tcPr>
            <w:tcW w:w="3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  <w:r>
              <w:rPr>
                <w:b w:val="false"/>
                <w:sz w:val="20"/>
              </w:rPr>
              <w:t>%</w:t>
            </w:r>
          </w:p>
        </w:tc>
      </w:tr>
      <w:tr>
        <w:trPr>
          <w:cantSplit w:val="true"/>
        </w:trPr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前五位物种合计占比</w:t>
            </w:r>
          </w:p>
        </w:tc>
        <w:tc>
          <w:tcPr>
            <w:tcW w:w="3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  <w:r>
              <w:rPr>
                <w:b w:val="false"/>
                <w:sz w:val="20"/>
              </w:rPr>
              <w:t>%</w:t>
            </w:r>
          </w:p>
        </w:tc>
      </w:tr>
      <w:tr>
        <w:trPr>
          <w:cantSplit w:val="true"/>
        </w:trPr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 xml:space="preserve">核心成员检出数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参考成员数</w:t>
            </w:r>
          </w:p>
        </w:tc>
        <w:tc>
          <w:tcPr>
            <w:tcW w:w="3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【待填】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619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检出核心成员的合计相对丰度</w:t>
            </w:r>
          </w:p>
        </w:tc>
        <w:tc>
          <w:tcPr>
            <w:tcW w:w="397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  <w:r>
              <w:rPr>
                <w:b w:val="false"/>
                <w:sz w:val="20"/>
              </w:rPr>
              <w:t>%</w:t>
            </w:r>
          </w:p>
        </w:tc>
      </w:tr>
    </w:tbl>
    <w:p>
      <w:pPr>
        <w:pStyle w:val="Normal"/>
        <w:keepNext w:val="false"/>
        <w:snapToGrid w:val="false"/>
        <w:spacing w:before="0" w:after="40"/>
        <w:rPr/>
      </w:pPr>
      <w:r>
        <w:rPr/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表 </w:t>
      </w:r>
      <w:r>
        <w:rPr>
          <w:b/>
          <w:sz w:val="20"/>
        </w:rPr>
        <w:t xml:space="preserve">3 1  </w:t>
      </w:r>
      <w:r>
        <w:rPr>
          <w:b/>
          <w:sz w:val="20"/>
        </w:rPr>
        <w:t>核心成员明细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3599"/>
        <w:gridCol w:w="1801"/>
        <w:gridCol w:w="1943"/>
        <w:gridCol w:w="2822"/>
      </w:tblGrid>
      <w:tr>
        <w:trPr>
          <w:tblHeader w:val="true"/>
          <w:cantSplit w:val="true"/>
        </w:trPr>
        <w:tc>
          <w:tcPr>
            <w:tcW w:w="35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/>
                <w:sz w:val="20"/>
              </w:rPr>
              <w:t>参考核心成员</w:t>
            </w:r>
          </w:p>
        </w:tc>
        <w:tc>
          <w:tcPr>
            <w:tcW w:w="18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/>
                <w:sz w:val="20"/>
              </w:rPr>
              <w:t>检出状态</w:t>
            </w:r>
          </w:p>
        </w:tc>
        <w:tc>
          <w:tcPr>
            <w:tcW w:w="1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/>
                <w:sz w:val="20"/>
              </w:rPr>
              <w:t>相对丰度</w:t>
            </w:r>
          </w:p>
        </w:tc>
        <w:tc>
          <w:tcPr>
            <w:tcW w:w="2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/>
                <w:sz w:val="20"/>
              </w:rPr>
              <w:t>备注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【核心成员</w:t>
            </w:r>
            <w:r>
              <w:rPr>
                <w:b w:val="false"/>
                <w:sz w:val="20"/>
              </w:rPr>
              <w:t>A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18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1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  <w:r>
              <w:rPr>
                <w:b w:val="false"/>
                <w:sz w:val="20"/>
              </w:rPr>
              <w:t>%</w:t>
            </w:r>
          </w:p>
        </w:tc>
        <w:tc>
          <w:tcPr>
            <w:tcW w:w="2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【核心成员</w:t>
            </w:r>
            <w:r>
              <w:rPr>
                <w:b w:val="false"/>
                <w:sz w:val="20"/>
              </w:rPr>
              <w:t>B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18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1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  <w:r>
              <w:rPr>
                <w:b w:val="false"/>
                <w:sz w:val="20"/>
              </w:rPr>
              <w:t>%</w:t>
            </w:r>
          </w:p>
        </w:tc>
        <w:tc>
          <w:tcPr>
            <w:tcW w:w="2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【核心成员</w:t>
            </w:r>
            <w:r>
              <w:rPr>
                <w:b w:val="false"/>
                <w:sz w:val="20"/>
              </w:rPr>
              <w:t>C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18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1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  <w:r>
              <w:rPr>
                <w:b w:val="false"/>
                <w:sz w:val="20"/>
              </w:rPr>
              <w:t>%</w:t>
            </w:r>
          </w:p>
        </w:tc>
        <w:tc>
          <w:tcPr>
            <w:tcW w:w="2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35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【核心成员</w:t>
            </w:r>
            <w:r>
              <w:rPr>
                <w:b w:val="false"/>
                <w:sz w:val="20"/>
              </w:rPr>
              <w:t>D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18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194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  <w:r>
              <w:rPr>
                <w:b w:val="false"/>
                <w:sz w:val="20"/>
              </w:rPr>
              <w:t>%</w:t>
            </w:r>
          </w:p>
        </w:tc>
        <w:tc>
          <w:tcPr>
            <w:tcW w:w="282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before="0" w:after="40"/>
        <w:rPr/>
      </w:pPr>
      <w:r>
        <w:rPr/>
      </w:r>
    </w:p>
    <w:p>
      <w:pPr>
        <w:pStyle w:val="Normal"/>
        <w:keepNext w:val="false"/>
        <w:snapToGrid w:val="false"/>
        <w:spacing w:before="0" w:after="0"/>
        <w:rPr/>
      </w:pPr>
      <w:r>
        <w:rPr>
          <w:b w:val="false"/>
        </w:rPr>
        <w:t>结果解读  【概括优势及核心成员特点，说明是否出现单一物种占优】</w:t>
      </w:r>
      <w:r>
        <w:br w:type="page"/>
      </w:r>
    </w:p>
    <w:p>
      <w:pPr>
        <w:pStyle w:val="Heading1"/>
        <w:snapToGrid w:val="false"/>
        <w:rPr>
          <w:color w:val="EA7500"/>
        </w:rPr>
      </w:pPr>
      <w:r>
        <w:rPr>
          <w:color w:val="EA7500"/>
        </w:rPr>
        <w:t xml:space="preserve">3.3 </w:t>
      </w:r>
      <w:r>
        <w:rPr>
          <w:color w:val="EA7500"/>
        </w:rPr>
        <w:t>肠型或群落组成倾向</w:t>
      </w:r>
    </w:p>
    <w:p>
      <w:pPr>
        <w:pStyle w:val="Normal"/>
        <w:keepNext w:val="false"/>
        <w:snapToGrid w:val="false"/>
        <w:spacing w:before="0" w:after="100"/>
        <w:rPr/>
      </w:pPr>
      <w:r>
        <w:rPr>
          <w:b/>
        </w:rPr>
        <w:t>本次群落组成倾向  【待填】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3 4  </w:t>
      </w:r>
      <w:r>
        <w:rPr>
          <w:b/>
          <w:sz w:val="20"/>
        </w:rPr>
        <w:t>本次样本在参考群落中的位置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w:drawing>
          <wp:inline distT="0" distB="0" distL="0" distR="0">
            <wp:extent cx="6400800" cy="3566160"/>
            <wp:effectExtent l="0" t="0" r="0" b="0"/>
            <wp:docPr id="6" name="Chart 6" descr="本样本与参考群落位置占位图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>
      <w:pPr>
        <w:pStyle w:val="Normal"/>
        <w:keepNext w:val="false"/>
        <w:snapToGrid w:val="false"/>
        <w:spacing w:before="0" w:after="140"/>
        <w:rPr/>
      </w:pPr>
      <w:r>
        <w:rPr>
          <w:b w:val="false"/>
          <w:sz w:val="18"/>
        </w:rPr>
        <w:t>黑色菱形代表本次样本，彩色圆点代表参考群落。图中位置仅用于版式展示。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880"/>
        <w:gridCol w:w="7285"/>
      </w:tblGrid>
      <w:tr>
        <w:trPr>
          <w:tblHeader w:val="true"/>
          <w:cantSplit w:val="true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/>
                <w:sz w:val="20"/>
              </w:rPr>
              <w:t>判读项目</w:t>
            </w:r>
          </w:p>
        </w:tc>
        <w:tc>
          <w:tcPr>
            <w:tcW w:w="72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/>
                <w:sz w:val="20"/>
              </w:rPr>
              <w:t>填写内容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群落组成倾向</w:t>
            </w:r>
          </w:p>
        </w:tc>
        <w:tc>
          <w:tcPr>
            <w:tcW w:w="72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 xml:space="preserve">【拟杆菌倾向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 xml:space="preserve">普雷沃氏菌倾向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 xml:space="preserve">其他或混合 </w:t>
            </w:r>
            <w:r>
              <w:rPr>
                <w:b w:val="false"/>
                <w:sz w:val="20"/>
              </w:rPr>
              <w:t xml:space="preserve">/ </w:t>
            </w:r>
            <w:r>
              <w:rPr>
                <w:b w:val="false"/>
                <w:sz w:val="20"/>
              </w:rPr>
              <w:t>无法归类】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主要支持类群</w:t>
            </w:r>
          </w:p>
        </w:tc>
        <w:tc>
          <w:tcPr>
            <w:tcW w:w="72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【类群名称及其组成特征】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分类方法与版本</w:t>
            </w:r>
          </w:p>
        </w:tc>
        <w:tc>
          <w:tcPr>
            <w:tcW w:w="72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【方法名称及版本】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判定稳定性或不确定性</w:t>
            </w:r>
          </w:p>
        </w:tc>
        <w:tc>
          <w:tcPr>
            <w:tcW w:w="72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无法明确归类时的说明</w:t>
            </w:r>
          </w:p>
        </w:tc>
        <w:tc>
          <w:tcPr>
            <w:tcW w:w="728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【待填；不适用时删除】</w:t>
            </w:r>
          </w:p>
        </w:tc>
      </w:tr>
    </w:tbl>
    <w:p>
      <w:pPr>
        <w:pStyle w:val="Normal"/>
        <w:keepNext w:val="false"/>
        <w:snapToGrid w:val="false"/>
        <w:spacing w:before="0" w:after="40"/>
        <w:rPr/>
      </w:pPr>
      <w:r>
        <w:rPr/>
      </w:r>
    </w:p>
    <w:p>
      <w:pPr>
        <w:pStyle w:val="Normal"/>
        <w:keepNext w:val="false"/>
        <w:snapToGrid w:val="false"/>
        <w:spacing w:before="0" w:after="100"/>
        <w:rPr/>
      </w:pPr>
      <w:r>
        <w:rPr>
          <w:b w:val="false"/>
        </w:rPr>
        <w:t>结果解读  【用一至两句话说明群落倾向及判定依据】</w:t>
      </w:r>
    </w:p>
    <w:p>
      <w:pPr>
        <w:pStyle w:val="Normal"/>
        <w:keepNext w:val="false"/>
        <w:snapToGrid w:val="false"/>
        <w:spacing w:before="0" w:after="0"/>
        <w:rPr/>
      </w:pPr>
      <w:r>
        <w:rPr>
          <w:b w:val="false"/>
          <w:sz w:val="18"/>
        </w:rPr>
        <w:t>肠型用于描述群落组成特征。</w:t>
      </w:r>
      <w:r>
        <w:br w:type="page"/>
      </w:r>
    </w:p>
    <w:p>
      <w:pPr>
        <w:pStyle w:val="Heading1"/>
        <w:snapToGrid w:val="false"/>
        <w:rPr>
          <w:color w:val="EA7500"/>
        </w:rPr>
      </w:pPr>
      <w:r>
        <w:rPr>
          <w:color w:val="EA7500"/>
        </w:rPr>
        <w:t xml:space="preserve">3.4 </w:t>
      </w:r>
      <w:r>
        <w:rPr>
          <w:color w:val="EA7500"/>
        </w:rPr>
        <w:t>与匹配参考人群的组成比较</w:t>
      </w:r>
    </w:p>
    <w:p>
      <w:pPr>
        <w:pStyle w:val="Normal"/>
        <w:keepNext w:val="false"/>
        <w:snapToGrid w:val="false"/>
        <w:spacing w:before="0" w:after="60"/>
        <w:rPr/>
      </w:pPr>
      <w:r>
        <w:rPr>
          <w:b w:val="false"/>
          <w:sz w:val="20"/>
        </w:rPr>
        <w:t>参考人群【待填】    样本量【待填】    匹配条件【待填】</w:t>
      </w:r>
    </w:p>
    <w:p>
      <w:pPr>
        <w:pStyle w:val="Normal"/>
        <w:keepNext w:val="false"/>
        <w:snapToGrid w:val="false"/>
        <w:spacing w:before="0" w:after="100"/>
        <w:rPr/>
      </w:pPr>
      <w:r>
        <w:rPr>
          <w:b w:val="false"/>
          <w:sz w:val="20"/>
        </w:rPr>
        <w:t>分析流程与参考版本【待填】</w:t>
      </w:r>
    </w:p>
    <w:p>
      <w:pPr>
        <w:pStyle w:val="Normal"/>
        <w:keepNext w:val="true"/>
        <w:snapToGrid w:val="false"/>
        <w:spacing w:before="100" w:after="60"/>
        <w:rPr/>
      </w:pPr>
      <w:r>
        <w:rPr>
          <w:b/>
          <w:sz w:val="20"/>
        </w:rPr>
        <w:t xml:space="preserve">图 </w:t>
      </w:r>
      <w:r>
        <w:rPr>
          <w:b/>
          <w:sz w:val="20"/>
        </w:rPr>
        <w:t xml:space="preserve">3 5  </w:t>
      </w:r>
      <w:r>
        <w:rPr>
          <w:b/>
          <w:sz w:val="20"/>
        </w:rPr>
        <w:t>重点物种相对丰度比较</w:t>
      </w:r>
    </w:p>
    <w:p>
      <w:pPr>
        <w:pStyle w:val="Normal"/>
        <w:keepNext w:val="false"/>
        <w:snapToGrid w:val="false"/>
        <w:spacing w:lineRule="auto" w:line="240" w:before="0" w:after="100"/>
        <w:jc w:val="center"/>
        <w:rPr/>
      </w:pPr>
      <w:r>
        <w:rPr/>
        <w:drawing>
          <wp:inline distT="0" distB="0" distL="0" distR="0">
            <wp:extent cx="6400800" cy="2148840"/>
            <wp:effectExtent l="0" t="0" r="0" b="0"/>
            <wp:docPr id="7" name="Chart 7" descr="本样本与参考人群丰度比较占位图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2534"/>
        <w:gridCol w:w="1799"/>
        <w:gridCol w:w="2016"/>
        <w:gridCol w:w="2016"/>
        <w:gridCol w:w="1801"/>
      </w:tblGrid>
      <w:tr>
        <w:trPr>
          <w:tblHeader w:val="true"/>
          <w:cantSplit w:val="true"/>
        </w:trPr>
        <w:tc>
          <w:tcPr>
            <w:tcW w:w="25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/>
                <w:sz w:val="20"/>
              </w:rPr>
              <w:t>重点物种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/>
                <w:sz w:val="20"/>
              </w:rPr>
              <w:t>本次丰度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/>
                <w:sz w:val="20"/>
              </w:rPr>
              <w:t>参考区间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/>
                <w:sz w:val="20"/>
              </w:rPr>
              <w:t>人群分位数</w:t>
            </w:r>
          </w:p>
        </w:tc>
        <w:tc>
          <w:tcPr>
            <w:tcW w:w="18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/>
                <w:sz w:val="20"/>
              </w:rPr>
              <w:t>比较结果</w:t>
            </w:r>
          </w:p>
        </w:tc>
      </w:tr>
      <w:tr>
        <w:trPr>
          <w:cantSplit w:val="true"/>
        </w:trPr>
        <w:tc>
          <w:tcPr>
            <w:tcW w:w="25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【物种</w:t>
            </w:r>
            <w:r>
              <w:rPr>
                <w:b w:val="false"/>
                <w:sz w:val="20"/>
              </w:rPr>
              <w:t>A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  <w:r>
              <w:rPr>
                <w:b w:val="false"/>
                <w:sz w:val="20"/>
              </w:rPr>
              <w:t>%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18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5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【物种</w:t>
            </w:r>
            <w:r>
              <w:rPr>
                <w:b w:val="false"/>
                <w:sz w:val="20"/>
              </w:rPr>
              <w:t>B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  <w:r>
              <w:rPr>
                <w:b w:val="false"/>
                <w:sz w:val="20"/>
              </w:rPr>
              <w:t>%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18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5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【物种</w:t>
            </w:r>
            <w:r>
              <w:rPr>
                <w:b w:val="false"/>
                <w:sz w:val="20"/>
              </w:rPr>
              <w:t>C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  <w:r>
              <w:rPr>
                <w:b w:val="false"/>
                <w:sz w:val="20"/>
              </w:rPr>
              <w:t>%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18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5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【物种</w:t>
            </w:r>
            <w:r>
              <w:rPr>
                <w:b w:val="false"/>
                <w:sz w:val="20"/>
              </w:rPr>
              <w:t>D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  <w:r>
              <w:rPr>
                <w:b w:val="false"/>
                <w:sz w:val="20"/>
              </w:rPr>
              <w:t>%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18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25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【物种</w:t>
            </w:r>
            <w:r>
              <w:rPr>
                <w:b w:val="false"/>
                <w:sz w:val="20"/>
              </w:rPr>
              <w:t>E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179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  <w:r>
              <w:rPr>
                <w:b w:val="false"/>
                <w:sz w:val="20"/>
              </w:rPr>
              <w:t>%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20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  <w:tc>
          <w:tcPr>
            <w:tcW w:w="18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before="0" w:after="40"/>
        <w:rPr/>
      </w:pPr>
      <w:r>
        <w:rPr/>
      </w:r>
    </w:p>
    <w:p>
      <w:pPr>
        <w:pStyle w:val="Normal"/>
        <w:keepNext w:val="false"/>
        <w:snapToGrid w:val="false"/>
        <w:spacing w:before="0" w:after="120"/>
        <w:rPr/>
      </w:pPr>
      <w:r>
        <w:rPr>
          <w:b w:val="false"/>
        </w:rPr>
        <w:t>主要差异  【列出最值得关注的一至三项组成差异】</w:t>
      </w:r>
    </w:p>
    <w:p>
      <w:pPr>
        <w:pStyle w:val="Heading2"/>
        <w:snapToGrid w:val="false"/>
        <w:rPr/>
      </w:pPr>
      <w:r>
        <w:rPr/>
        <w:t>绝对丰度补充结果</w:t>
      </w:r>
    </w:p>
    <w:p>
      <w:pPr>
        <w:pStyle w:val="Normal"/>
        <w:keepNext w:val="false"/>
        <w:snapToGrid w:val="false"/>
        <w:spacing w:before="0" w:after="100"/>
        <w:rPr/>
      </w:pPr>
      <w:r>
        <w:rPr>
          <w:b w:val="false"/>
          <w:sz w:val="18"/>
        </w:rPr>
        <w:t>仅在具有总菌量实测或其他经验证的定量结果时启用；无对应数据时删除本栏。</w:t>
      </w:r>
    </w:p>
    <w:tbl>
      <w:tblPr>
        <w:tblW w:w="10166" w:type="dxa"/>
        <w:jc w:val="center"/>
        <w:tblInd w:w="0" w:type="dxa"/>
        <w:tblLayout w:type="fixed"/>
        <w:tblCellMar>
          <w:top w:w="60" w:type="dxa"/>
          <w:left w:w="105" w:type="dxa"/>
          <w:bottom w:w="60" w:type="dxa"/>
          <w:right w:w="105" w:type="dxa"/>
        </w:tblCellMar>
        <w:tblLook w:val="04a0" w:noHBand="0" w:noVBand="1" w:firstColumn="1" w:lastRow="0" w:lastColumn="0" w:firstRow="1"/>
      </w:tblPr>
      <w:tblGrid>
        <w:gridCol w:w="3816"/>
        <w:gridCol w:w="2880"/>
        <w:gridCol w:w="3470"/>
      </w:tblGrid>
      <w:tr>
        <w:trPr>
          <w:tblHeader w:val="true"/>
          <w:cantSplit w:val="true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/>
                <w:sz w:val="20"/>
              </w:rPr>
              <w:t>定量项目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/>
                <w:sz w:val="20"/>
              </w:rPr>
              <w:t>本次结果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E2EDF0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/>
                <w:sz w:val="20"/>
              </w:rPr>
              <w:t>测量或估算依据</w:t>
            </w:r>
          </w:p>
        </w:tc>
      </w:tr>
      <w:tr>
        <w:trPr>
          <w:cantSplit w:val="true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总菌量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【待填】【单位</w:t>
            </w:r>
            <w:r>
              <w:rPr>
                <w:b w:val="false"/>
                <w:sz w:val="20"/>
              </w:rPr>
              <w:t>/g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FFFFF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  <w:tr>
        <w:trPr>
          <w:cantSplit w:val="true"/>
        </w:trPr>
        <w:tc>
          <w:tcPr>
            <w:tcW w:w="381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left"/>
              <w:rPr/>
            </w:pPr>
            <w:r>
              <w:rPr>
                <w:b w:val="false"/>
                <w:sz w:val="20"/>
              </w:rPr>
              <w:t>【重点物种】绝对丰度</w:t>
            </w:r>
          </w:p>
        </w:tc>
        <w:tc>
          <w:tcPr>
            <w:tcW w:w="28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【待填】【单位</w:t>
            </w:r>
            <w:r>
              <w:rPr>
                <w:b w:val="false"/>
                <w:sz w:val="20"/>
              </w:rPr>
              <w:t>/g</w:t>
            </w:r>
            <w:r>
              <w:rPr>
                <w:b w:val="false"/>
                <w:sz w:val="20"/>
              </w:rPr>
              <w:t>】</w:t>
            </w:r>
          </w:p>
        </w:tc>
        <w:tc>
          <w:tcPr>
            <w:tcW w:w="347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fill="F6F8F9"/>
            <w:vAlign w:val="center"/>
          </w:tcPr>
          <w:p>
            <w:pPr>
              <w:pStyle w:val="Normal"/>
              <w:spacing w:lineRule="auto" w:line="264" w:before="0" w:after="20"/>
              <w:jc w:val="center"/>
              <w:rPr/>
            </w:pPr>
            <w:r>
              <w:rPr>
                <w:b w:val="false"/>
                <w:sz w:val="20"/>
              </w:rPr>
              <w:t>【待填】</w:t>
            </w:r>
          </w:p>
        </w:tc>
      </w:tr>
    </w:tbl>
    <w:p>
      <w:pPr>
        <w:pStyle w:val="Normal"/>
        <w:keepNext w:val="false"/>
        <w:snapToGrid w:val="false"/>
        <w:spacing w:before="0" w:after="40"/>
        <w:rPr/>
      </w:pPr>
      <w:r>
        <w:rPr/>
      </w:r>
    </w:p>
    <w:p>
      <w:pPr>
        <w:pStyle w:val="Normal"/>
        <w:keepNext w:val="false"/>
        <w:snapToGrid w:val="false"/>
        <w:spacing w:before="0" w:after="0"/>
        <w:rPr/>
      </w:pPr>
      <w:r>
        <w:rPr>
          <w:b w:val="false"/>
        </w:rPr>
        <w:t>结果解读  【概括相对参考人群的组成差异；有定量结果时补充说明】</w:t>
      </w:r>
    </w:p>
    <w:sectPr>
      <w:footerReference w:type="even" r:id="rId9"/>
      <w:footerReference w:type="default" r:id="rId10"/>
      <w:footerReference w:type="first" r:id="rId11"/>
      <w:type w:val="nextPage"/>
      <w:pgSz w:w="12240" w:h="15840"/>
      <w:pgMar w:left="1037" w:right="1037" w:gutter="0" w:header="0" w:top="907" w:footer="360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Sans CJK SC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val="6B7280"/>
        <w:sz w:val="16"/>
      </w:rPr>
      <w:t xml:space="preserve">03 </w:t>
    </w:r>
    <w:r>
      <w:rPr>
        <w:color w:val="6B7280"/>
        <w:sz w:val="16"/>
      </w:rPr>
      <w:t xml:space="preserve">菌群组成与群落结构  </w:t>
    </w:r>
    <w:r>
      <w:rPr>
        <w:color w:val="6B7280"/>
        <w:sz w:val="16"/>
      </w:rPr>
      <w:t xml:space="preserve">|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/>
    </w:pPr>
    <w:r>
      <w:rPr>
        <w:color w:val="6B7280"/>
        <w:sz w:val="16"/>
      </w:rPr>
      <w:t xml:space="preserve">03 </w:t>
    </w:r>
    <w:r>
      <w:rPr>
        <w:color w:val="6B7280"/>
        <w:sz w:val="16"/>
      </w:rPr>
      <w:t xml:space="preserve">菌群组成与群落结构  </w:t>
    </w:r>
    <w:r>
      <w:rPr>
        <w:color w:val="6B7280"/>
        <w:sz w:val="16"/>
      </w:rPr>
      <w:t xml:space="preserve">| 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00"/>
      <w:jc w:val="left"/>
    </w:pPr>
    <w:rPr>
      <w:rFonts w:ascii="Noto Sans CJK SC" w:hAnsi="Noto Sans CJK SC" w:eastAsia="Noto Sans CJK SC" w:cs="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60" w:after="14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20" w:after="8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Style5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Style6">
    <w:name w:val="索引"/>
    <w:basedOn w:val="Normal"/>
    <w:qFormat/>
    <w:pPr>
      <w:suppressLineNumbers/>
    </w:pPr>
    <w:rPr>
      <w:rFonts w:cs="Noto Sans CJK SC"/>
    </w:rPr>
  </w:style>
  <w:style w:type="paragraph" w:styleId="Style7">
    <w:name w:val="页眉与页脚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lineRule="auto" w:line="240" w:before="0" w:after="12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000000"/>
      <w:spacing w:val="5"/>
      <w:kern w:val="2"/>
      <w:sz w:val="4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Style5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tyle8" w:default="1">
    <w:name w:val="无列表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hart" Target="charts/chart1.xml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chart" Target="charts/chart4.xml"/><Relationship Id="rId6" Type="http://schemas.openxmlformats.org/officeDocument/2006/relationships/chart" Target="charts/chart5.xml"/><Relationship Id="rId7" Type="http://schemas.openxmlformats.org/officeDocument/2006/relationships/chart" Target="charts/chart6.xml"/><Relationship Id="rId8" Type="http://schemas.openxmlformats.org/officeDocument/2006/relationships/chart" Target="charts/chart7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<Relationship Id="rId16" Type="http://schemas.openxmlformats.org/officeDocument/2006/relationships/customXml" Target="../customXml/item1.xml"/>
</Relationships>
</file>

<file path=word/charts/_rels/chart1.xml.rels><?xml version="1.0" encoding="UTF-8"?>
<Relationships xmlns="http://schemas.openxmlformats.org/package/2006/relationships"><Relationship Id="rId1" Type="http://schemas.openxmlformats.org/officeDocument/2006/relationships/package" Target="../embeddings/ChartData1.xlsx"/>
</Relationships>
</file>

<file path=word/charts/_rels/chart2.xml.rels><?xml version="1.0" encoding="UTF-8"?>
<Relationships xmlns="http://schemas.openxmlformats.org/package/2006/relationships"><Relationship Id="rId1" Type="http://schemas.openxmlformats.org/officeDocument/2006/relationships/package" Target="../embeddings/ChartData2.xlsx"/>
</Relationships>
</file>

<file path=word/charts/_rels/chart3.xml.rels><?xml version="1.0" encoding="UTF-8"?>
<Relationships xmlns="http://schemas.openxmlformats.org/package/2006/relationships"><Relationship Id="rId1" Type="http://schemas.openxmlformats.org/officeDocument/2006/relationships/package" Target="../embeddings/ChartData3.xlsx"/>
</Relationships>
</file>

<file path=word/charts/_rels/chart4.xml.rels><?xml version="1.0" encoding="UTF-8"?>
<Relationships xmlns="http://schemas.openxmlformats.org/package/2006/relationships"><Relationship Id="rId1" Type="http://schemas.openxmlformats.org/officeDocument/2006/relationships/package" Target="../embeddings/ChartData4.xlsx"/>
</Relationships>
</file>

<file path=word/charts/_rels/chart5.xml.rels><?xml version="1.0" encoding="UTF-8"?>
<Relationships xmlns="http://schemas.openxmlformats.org/package/2006/relationships"><Relationship Id="rId1" Type="http://schemas.openxmlformats.org/officeDocument/2006/relationships/package" Target="../embeddings/ChartData5.xlsx"/>
</Relationships>
</file>

<file path=word/charts/_rels/chart6.xml.rels><?xml version="1.0" encoding="UTF-8"?>
<Relationships xmlns="http://schemas.openxmlformats.org/package/2006/relationships"><Relationship Id="rId1" Type="http://schemas.openxmlformats.org/officeDocument/2006/relationships/package" Target="../embeddings/ChartData6.xlsx"/>
</Relationships>
</file>

<file path=word/charts/_rels/chart7.xml.rels><?xml version="1.0" encoding="UTF-8"?>
<Relationships xmlns="http://schemas.openxmlformats.org/package/2006/relationships"><Relationship Id="rId1" Type="http://schemas.openxmlformats.org/officeDocument/2006/relationships/package" Target="../embeddings/ChartData7.xlsx"/>
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barChart>
        <c:barDir val="bar"/>
        <c:grouping val="percentStack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【菌门A】</c:v>
                </c:pt>
              </c:strCache>
            </c:strRef>
          </c:tx>
          <c:spPr>
            <a:solidFill>
              <a:srgbClr val="246a73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"/>
                <c:pt idx="0">
                  <c:v>本样本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1"/>
                <c:pt idx="0">
                  <c:v>30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【菌门B】</c:v>
                </c:pt>
              </c:strCache>
            </c:strRef>
          </c:tx>
          <c:spPr>
            <a:solidFill>
              <a:srgbClr val="4a86a4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"/>
                <c:pt idx="0">
                  <c:v>本样本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1"/>
                <c:pt idx="0">
                  <c:v>23</c:v>
                </c:pt>
              </c:numCache>
            </c:numRef>
          </c:val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【菌门C】</c:v>
                </c:pt>
              </c:strCache>
            </c:strRef>
          </c:tx>
          <c:spPr>
            <a:solidFill>
              <a:srgbClr val="8ab8c2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"/>
                <c:pt idx="0">
                  <c:v>本样本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1"/>
                <c:pt idx="0">
                  <c:v>17</c:v>
                </c:pt>
              </c:numCache>
            </c:numRef>
          </c:val>
        </c:ser>
        <c:ser>
          <c:idx val="3"/>
          <c:order val="3"/>
          <c:tx>
            <c:strRef>
              <c:f>label 3</c:f>
              <c:strCache>
                <c:ptCount val="1"/>
                <c:pt idx="0">
                  <c:v>【菌门D】</c:v>
                </c:pt>
              </c:strCache>
            </c:strRef>
          </c:tx>
          <c:spPr>
            <a:solidFill>
              <a:srgbClr val="b5d2cd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"/>
                <c:pt idx="0">
                  <c:v>本样本</c:v>
                </c:pt>
              </c:strCache>
            </c:strRef>
          </c:cat>
          <c:val>
            <c:numRef>
              <c:f>3</c:f>
              <c:numCache>
                <c:formatCode>General</c:formatCode>
                <c:ptCount val="1"/>
                <c:pt idx="0">
                  <c:v>12</c:v>
                </c:pt>
              </c:numCache>
            </c:numRef>
          </c:val>
        </c:ser>
        <c:ser>
          <c:idx val="4"/>
          <c:order val="4"/>
          <c:tx>
            <c:strRef>
              <c:f>label 4</c:f>
              <c:strCache>
                <c:ptCount val="1"/>
                <c:pt idx="0">
                  <c:v>【菌门E】</c:v>
                </c:pt>
              </c:strCache>
            </c:strRef>
          </c:tx>
          <c:spPr>
            <a:solidFill>
              <a:srgbClr val="c6b694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"/>
                <c:pt idx="0">
                  <c:v>本样本</c:v>
                </c:pt>
              </c:strCache>
            </c:strRef>
          </c:cat>
          <c:val>
            <c:numRef>
              <c:f>4</c:f>
              <c:numCache>
                <c:formatCode>General</c:formatCode>
                <c:ptCount val="1"/>
                <c:pt idx="0">
                  <c:v>8</c:v>
                </c:pt>
              </c:numCache>
            </c:numRef>
          </c:val>
        </c:ser>
        <c:ser>
          <c:idx val="5"/>
          <c:order val="5"/>
          <c:tx>
            <c:strRef>
              <c:f>label 5</c:f>
              <c:strCache>
                <c:ptCount val="1"/>
                <c:pt idx="0">
                  <c:v>其他</c:v>
                </c:pt>
              </c:strCache>
            </c:strRef>
          </c:tx>
          <c:spPr>
            <a:solidFill>
              <a:srgbClr val="e7e9ec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1"/>
                <c:pt idx="0">
                  <c:v>本样本</c:v>
                </c:pt>
              </c:strCache>
            </c:strRef>
          </c:cat>
          <c:val>
            <c:numRef>
              <c:f>5</c:f>
              <c:numCache>
                <c:formatCode>General</c:formatCode>
                <c:ptCount val="1"/>
                <c:pt idx="0">
                  <c:v>10</c:v>
                </c:pt>
              </c:numCache>
            </c:numRef>
          </c:val>
        </c:ser>
        <c:gapWidth val="65"/>
        <c:overlap val="100"/>
        <c:axId val="59372681"/>
        <c:axId val="44163062"/>
      </c:barChart>
      <c:catAx>
        <c:axId val="59372681"/>
        <c:scaling>
          <c:orientation val="maxMin"/>
        </c:scaling>
        <c:delete val="0"/>
        <c:axPos val="b"/>
        <c:numFmt formatCode="[$-804]yyyy/m/d" sourceLinked="1"/>
        <c:majorTickMark val="none"/>
        <c:minorTickMark val="none"/>
        <c:tickLblPos val="none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44163062"/>
        <c:crosses val="autoZero"/>
        <c:auto val="1"/>
        <c:lblAlgn val="ctr"/>
        <c:lblOffset val="100"/>
        <c:noMultiLvlLbl val="0"/>
      </c:catAx>
      <c:valAx>
        <c:axId val="44163062"/>
        <c:scaling>
          <c:orientation val="minMax"/>
        </c:scaling>
        <c:delete val="0"/>
        <c:axPos val="l"/>
        <c:numFmt formatCode="0" sourceLinked="0"/>
        <c:majorTickMark val="none"/>
        <c:minorTickMark val="none"/>
        <c:tickLblPos val="none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59372681"/>
        <c:crosses val="autoZero"/>
        <c:crossBetween val="between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b="0" sz="900" spc="-1" strike="noStrike">
              <a:solidFill>
                <a:srgbClr val="30343a"/>
              </a:solidFill>
              <a:latin typeface="Noto Sans CJK SC"/>
            </a:defRPr>
          </a:pPr>
        </a:p>
      </c:txPr>
    </c:legend>
    <c:plotVisOnly val="1"/>
    <c:dispBlanksAs val="gap"/>
  </c:chart>
  <c:spPr>
    <a:noFill/>
    <a:ln w="9000">
      <a:noFill/>
    </a:ln>
  </c:spPr>
  <c:externalData r:id="rId1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barChart>
        <c:barDir val="bar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本次样本</c:v>
                </c:pt>
              </c:strCache>
            </c:strRef>
          </c:tx>
          <c:spPr>
            <a:solidFill>
              <a:srgbClr val="246a73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【菌属A】</c:v>
                </c:pt>
                <c:pt idx="1">
                  <c:v>【菌属B】</c:v>
                </c:pt>
                <c:pt idx="2">
                  <c:v>【菌属C】</c:v>
                </c:pt>
                <c:pt idx="3">
                  <c:v>【菌属D】</c:v>
                </c:pt>
                <c:pt idx="4">
                  <c:v>【菌属E】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30</c:v>
                </c:pt>
                <c:pt idx="1">
                  <c:v>23</c:v>
                </c:pt>
                <c:pt idx="2">
                  <c:v>17</c:v>
                </c:pt>
                <c:pt idx="3">
                  <c:v>12</c:v>
                </c:pt>
                <c:pt idx="4">
                  <c:v>8</c:v>
                </c:pt>
              </c:numCache>
            </c:numRef>
          </c:val>
        </c:ser>
        <c:gapWidth val="75"/>
        <c:overlap val="0"/>
        <c:axId val="3384464"/>
        <c:axId val="73849970"/>
      </c:barChart>
      <c:catAx>
        <c:axId val="3384464"/>
        <c:scaling>
          <c:orientation val="maxMin"/>
        </c:scaling>
        <c:delete val="0"/>
        <c:axPos val="b"/>
        <c:numFmt formatCode="[$-804]yyyy/m/d" sourceLinked="1"/>
        <c:majorTickMark val="none"/>
        <c:minorTickMark val="none"/>
        <c:tickLblPos val="nextTo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73849970"/>
        <c:crosses val="autoZero"/>
        <c:auto val="1"/>
        <c:lblAlgn val="ctr"/>
        <c:lblOffset val="100"/>
        <c:noMultiLvlLbl val="0"/>
      </c:catAx>
      <c:valAx>
        <c:axId val="73849970"/>
        <c:scaling>
          <c:orientation val="minMax"/>
        </c:scaling>
        <c:delete val="0"/>
        <c:axPos val="l"/>
        <c:numFmt formatCode="0" sourceLinked="0"/>
        <c:majorTickMark val="none"/>
        <c:minorTickMark val="none"/>
        <c:tickLblPos val="none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3384464"/>
        <c:crosses val="autoZero"/>
        <c:crossBetween val="between"/>
      </c:valAx>
      <c:spPr>
        <a:noFill/>
        <a:ln w="0">
          <a:noFill/>
        </a:ln>
      </c:spPr>
    </c:plotArea>
    <c:plotVisOnly val="1"/>
    <c:dispBlanksAs val="gap"/>
  </c:chart>
  <c:spPr>
    <a:noFill/>
    <a:ln w="9000">
      <a:noFill/>
    </a:ln>
  </c:spPr>
  <c:externalData r:id="rId1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barChart>
        <c:barDir val="bar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本次样本</c:v>
                </c:pt>
              </c:strCache>
            </c:strRef>
          </c:tx>
          <c:spPr>
            <a:solidFill>
              <a:srgbClr val="4a86a4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【物种A】</c:v>
                </c:pt>
                <c:pt idx="1">
                  <c:v>【物种B】</c:v>
                </c:pt>
                <c:pt idx="2">
                  <c:v>【物种C】</c:v>
                </c:pt>
                <c:pt idx="3">
                  <c:v>【物种D】</c:v>
                </c:pt>
                <c:pt idx="4">
                  <c:v>【物种E】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26</c:v>
                </c:pt>
                <c:pt idx="1">
                  <c:v>20</c:v>
                </c:pt>
                <c:pt idx="2">
                  <c:v>14</c:v>
                </c:pt>
                <c:pt idx="3">
                  <c:v>10</c:v>
                </c:pt>
                <c:pt idx="4">
                  <c:v>7</c:v>
                </c:pt>
              </c:numCache>
            </c:numRef>
          </c:val>
        </c:ser>
        <c:gapWidth val="75"/>
        <c:overlap val="0"/>
        <c:axId val="89943483"/>
        <c:axId val="36685997"/>
      </c:barChart>
      <c:catAx>
        <c:axId val="89943483"/>
        <c:scaling>
          <c:orientation val="maxMin"/>
        </c:scaling>
        <c:delete val="0"/>
        <c:axPos val="b"/>
        <c:numFmt formatCode="[$-804]yyyy/m/d" sourceLinked="1"/>
        <c:majorTickMark val="none"/>
        <c:minorTickMark val="none"/>
        <c:tickLblPos val="nextTo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36685997"/>
        <c:crosses val="autoZero"/>
        <c:auto val="1"/>
        <c:lblAlgn val="ctr"/>
        <c:lblOffset val="100"/>
        <c:noMultiLvlLbl val="0"/>
      </c:catAx>
      <c:valAx>
        <c:axId val="36685997"/>
        <c:scaling>
          <c:orientation val="minMax"/>
        </c:scaling>
        <c:delete val="0"/>
        <c:axPos val="l"/>
        <c:numFmt formatCode="0" sourceLinked="0"/>
        <c:majorTickMark val="none"/>
        <c:minorTickMark val="none"/>
        <c:tickLblPos val="none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89943483"/>
        <c:crosses val="autoZero"/>
        <c:crossBetween val="between"/>
      </c:valAx>
      <c:spPr>
        <a:noFill/>
        <a:ln w="0">
          <a:noFill/>
        </a:ln>
      </c:spPr>
    </c:plotArea>
    <c:plotVisOnly val="1"/>
    <c:dispBlanksAs val="gap"/>
  </c:chart>
  <c:spPr>
    <a:noFill/>
    <a:ln w="9000">
      <a:noFill/>
    </a:ln>
  </c:spPr>
  <c:externalData r:id="rId1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barChart>
        <c:barDir val="bar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本次样本</c:v>
                </c:pt>
              </c:strCache>
            </c:strRef>
          </c:tx>
          <c:spPr>
            <a:solidFill>
              <a:srgbClr val="246a73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6"/>
                <c:pt idx="0">
                  <c:v>【物种A】</c:v>
                </c:pt>
                <c:pt idx="1">
                  <c:v>【物种B】</c:v>
                </c:pt>
                <c:pt idx="2">
                  <c:v>【物种C】</c:v>
                </c:pt>
                <c:pt idx="3">
                  <c:v>【物种D】</c:v>
                </c:pt>
                <c:pt idx="4">
                  <c:v>【物种E】</c:v>
                </c:pt>
                <c:pt idx="5">
                  <c:v>【物种F】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6"/>
                <c:pt idx="0">
                  <c:v>26</c:v>
                </c:pt>
                <c:pt idx="1">
                  <c:v>20</c:v>
                </c:pt>
                <c:pt idx="2">
                  <c:v>14</c:v>
                </c:pt>
                <c:pt idx="3">
                  <c:v>10</c:v>
                </c:pt>
                <c:pt idx="4">
                  <c:v>7</c:v>
                </c:pt>
                <c:pt idx="5">
                  <c:v>5</c:v>
                </c:pt>
              </c:numCache>
            </c:numRef>
          </c:val>
        </c:ser>
        <c:gapWidth val="75"/>
        <c:overlap val="0"/>
        <c:axId val="18398490"/>
        <c:axId val="89828882"/>
      </c:barChart>
      <c:catAx>
        <c:axId val="18398490"/>
        <c:scaling>
          <c:orientation val="maxMin"/>
        </c:scaling>
        <c:delete val="0"/>
        <c:axPos val="b"/>
        <c:numFmt formatCode="[$-804]yyyy/m/d" sourceLinked="1"/>
        <c:majorTickMark val="none"/>
        <c:minorTickMark val="none"/>
        <c:tickLblPos val="nextTo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89828882"/>
        <c:crosses val="autoZero"/>
        <c:auto val="1"/>
        <c:lblAlgn val="ctr"/>
        <c:lblOffset val="100"/>
        <c:noMultiLvlLbl val="0"/>
      </c:catAx>
      <c:valAx>
        <c:axId val="89828882"/>
        <c:scaling>
          <c:orientation val="minMax"/>
        </c:scaling>
        <c:delete val="0"/>
        <c:axPos val="l"/>
        <c:numFmt formatCode="0" sourceLinked="0"/>
        <c:majorTickMark val="none"/>
        <c:minorTickMark val="none"/>
        <c:tickLblPos val="none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18398490"/>
        <c:crosses val="autoZero"/>
        <c:crossBetween val="between"/>
      </c:valAx>
      <c:spPr>
        <a:noFill/>
        <a:ln w="0">
          <a:noFill/>
        </a:ln>
      </c:spPr>
    </c:plotArea>
    <c:plotVisOnly val="1"/>
    <c:dispBlanksAs val="gap"/>
  </c:chart>
  <c:spPr>
    <a:noFill/>
    <a:ln w="9000">
      <a:noFill/>
    </a:ln>
  </c:spPr>
  <c:externalData r:id="rId1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doughnutChart>
        <c:varyColors val="1"/>
        <c:ser>
          <c:idx val="0"/>
          <c:order val="0"/>
          <c:tx>
            <c:strRef>
              <c:f>label 0</c:f>
              <c:strCache>
                <c:ptCount val="1"/>
                <c:pt idx="0">
                  <c:v>核心菌群覆盖</c:v>
                </c:pt>
              </c:strCache>
            </c:strRef>
          </c:tx>
          <c:spPr>
            <a:solidFill>
              <a:srgbClr val="4f81bd"/>
            </a:solidFill>
            <a:ln w="0">
              <a:noFill/>
            </a:ln>
          </c:spPr>
          <c:explosion val="0"/>
          <c:dPt>
            <c:idx val="0"/>
            <c:spPr>
              <a:solidFill>
                <a:srgbClr val="246a73"/>
              </a:solidFill>
              <a:ln w="9000">
                <a:noFill/>
              </a:ln>
            </c:spPr>
          </c:dPt>
          <c:dPt>
            <c:idx val="1"/>
            <c:spPr>
              <a:solidFill>
                <a:srgbClr val="e7e9ec"/>
              </a:solidFill>
              <a:ln w="9000">
                <a:noFill/>
              </a:ln>
            </c:spPr>
          </c:dPt>
          <c:dLbls>
            <c:dLbl>
              <c:idx val="0"/>
              <c:txPr>
                <a:bodyPr wrap="none"/>
                <a:lstStyle/>
                <a:p>
                  <a:pPr>
                    <a:defRPr b="0" sz="1000" spc="-1" strike="noStrike"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dLbl>
              <c:idx val="1"/>
              <c:txPr>
                <a:bodyPr wrap="none"/>
                <a:lstStyle/>
                <a:p>
                  <a:pPr>
                    <a:defRPr b="0" sz="1000" spc="-1" strike="noStrike">
                      <a:latin typeface="Arial"/>
                    </a:defRPr>
                  </a:pPr>
                </a:p>
              </c:txPr>
              <c:showLegendKey val="0"/>
              <c:showVal val="0"/>
              <c:showCatName val="0"/>
              <c:showSerName val="0"/>
              <c:showPercent val="0"/>
              <c:separator> </c:separator>
            </c:dLbl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</c:dLbls>
          <c:cat>
            <c:strRef>
              <c:f>categories</c:f>
              <c:strCache>
                <c:ptCount val="2"/>
                <c:pt idx="0">
                  <c:v>已检出核心菌群</c:v>
                </c:pt>
                <c:pt idx="1">
                  <c:v>其余核心菌群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2"/>
                <c:pt idx="0">
                  <c:v>7</c:v>
                </c:pt>
                <c:pt idx="1">
                  <c:v>3</c:v>
                </c:pt>
              </c:numCache>
            </c:numRef>
          </c:val>
        </c:ser>
        <c:firstSliceAng val="270"/>
        <c:holeSize val="50"/>
      </c:doughnutChart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b="0" sz="900" spc="-1" strike="noStrike">
              <a:solidFill>
                <a:srgbClr val="30343a"/>
              </a:solidFill>
              <a:latin typeface="Noto Sans CJK SC"/>
            </a:defRPr>
          </a:pPr>
        </a:p>
      </c:txPr>
    </c:legend>
    <c:plotVisOnly val="1"/>
    <c:dispBlanksAs val="gap"/>
  </c:chart>
  <c:spPr>
    <a:noFill/>
    <a:ln w="9000">
      <a:noFill/>
    </a:ln>
  </c:spPr>
  <c:externalData r:id="rId1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scatterChart>
        <c:scatterStyle val="lineMarker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参考群落A</c:v>
                </c:pt>
              </c:strCache>
            </c:strRef>
          </c:tx>
          <c:spPr>
            <a:solidFill>
              <a:srgbClr val="4a86a4"/>
            </a:solidFill>
            <a:ln w="9000">
              <a:noFill/>
            </a:ln>
          </c:spPr>
          <c:marker>
            <c:symbol val="circle"/>
            <c:size val="7"/>
            <c:spPr>
              <a:solidFill>
                <a:srgbClr val="4a86a4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1</c:f>
              <c:numCache>
                <c:formatCode>General</c:formatCode>
                <c:ptCount val="6"/>
                <c:pt idx="0">
                  <c:v>1</c:v>
                </c:pt>
                <c:pt idx="1">
                  <c:v>1.35</c:v>
                </c:pt>
                <c:pt idx="2">
                  <c:v>1.8</c:v>
                </c:pt>
                <c:pt idx="3">
                  <c:v>2.05</c:v>
                </c:pt>
                <c:pt idx="4">
                  <c:v>2.25</c:v>
                </c:pt>
                <c:pt idx="5">
                  <c:v>1.5</c:v>
                </c:pt>
              </c:numCache>
            </c:numRef>
          </c:xVal>
          <c:yVal>
            <c:numRef>
              <c:f>0</c:f>
              <c:numCache>
                <c:formatCode>General</c:formatCode>
                <c:ptCount val="6"/>
                <c:pt idx="0">
                  <c:v>2.1</c:v>
                </c:pt>
                <c:pt idx="1">
                  <c:v>1.65</c:v>
                </c:pt>
                <c:pt idx="2">
                  <c:v>2.3</c:v>
                </c:pt>
                <c:pt idx="3">
                  <c:v>1.7</c:v>
                </c:pt>
                <c:pt idx="4">
                  <c:v>2.1</c:v>
                </c:pt>
                <c:pt idx="5">
                  <c:v>2.65</c:v>
                </c:pt>
              </c:numCache>
            </c:numRef>
          </c:yVal>
          <c:smooth val="0"/>
        </c:ser>
        <c:ser>
          <c:idx val="1"/>
          <c:order val="1"/>
          <c:tx>
            <c:strRef>
              <c:f>label 2</c:f>
              <c:strCache>
                <c:ptCount val="1"/>
                <c:pt idx="0">
                  <c:v>参考群落B</c:v>
                </c:pt>
              </c:strCache>
            </c:strRef>
          </c:tx>
          <c:spPr>
            <a:solidFill>
              <a:srgbClr val="8ab8c2"/>
            </a:solidFill>
            <a:ln w="9000">
              <a:noFill/>
            </a:ln>
          </c:spPr>
          <c:marker>
            <c:symbol val="circle"/>
            <c:size val="7"/>
            <c:spPr>
              <a:solidFill>
                <a:srgbClr val="8ab8c2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3</c:f>
              <c:numCache>
                <c:formatCode>General</c:formatCode>
                <c:ptCount val="6"/>
                <c:pt idx="0">
                  <c:v>3.5</c:v>
                </c:pt>
                <c:pt idx="1">
                  <c:v>3.95</c:v>
                </c:pt>
                <c:pt idx="2">
                  <c:v>4.1</c:v>
                </c:pt>
                <c:pt idx="3">
                  <c:v>4.4</c:v>
                </c:pt>
                <c:pt idx="4">
                  <c:v>4.65</c:v>
                </c:pt>
                <c:pt idx="5">
                  <c:v>3.75</c:v>
                </c:pt>
              </c:numCache>
            </c:numRef>
          </c:xVal>
          <c:yVal>
            <c:numRef>
              <c:f>2</c:f>
              <c:numCache>
                <c:formatCode>General</c:formatCode>
                <c:ptCount val="6"/>
                <c:pt idx="0">
                  <c:v>1.15</c:v>
                </c:pt>
                <c:pt idx="1">
                  <c:v>1.55</c:v>
                </c:pt>
                <c:pt idx="2">
                  <c:v>1</c:v>
                </c:pt>
                <c:pt idx="3">
                  <c:v>1.7</c:v>
                </c:pt>
                <c:pt idx="4">
                  <c:v>1.35</c:v>
                </c:pt>
                <c:pt idx="5">
                  <c:v>2</c:v>
                </c:pt>
              </c:numCache>
            </c:numRef>
          </c:yVal>
          <c:smooth val="0"/>
        </c:ser>
        <c:ser>
          <c:idx val="2"/>
          <c:order val="2"/>
          <c:tx>
            <c:strRef>
              <c:f>label 4</c:f>
              <c:strCache>
                <c:ptCount val="1"/>
                <c:pt idx="0">
                  <c:v>参考群落C</c:v>
                </c:pt>
              </c:strCache>
            </c:strRef>
          </c:tx>
          <c:spPr>
            <a:solidFill>
              <a:srgbClr val="c6b694"/>
            </a:solidFill>
            <a:ln w="9000">
              <a:noFill/>
            </a:ln>
          </c:spPr>
          <c:marker>
            <c:symbol val="circle"/>
            <c:size val="7"/>
            <c:spPr>
              <a:solidFill>
                <a:srgbClr val="c6b694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5</c:f>
              <c:numCache>
                <c:formatCode>General</c:formatCode>
                <c:ptCount val="6"/>
                <c:pt idx="0">
                  <c:v>2</c:v>
                </c:pt>
                <c:pt idx="1">
                  <c:v>2.5</c:v>
                </c:pt>
                <c:pt idx="2">
                  <c:v>2.8</c:v>
                </c:pt>
                <c:pt idx="3">
                  <c:v>3.1</c:v>
                </c:pt>
                <c:pt idx="4">
                  <c:v>3.4</c:v>
                </c:pt>
                <c:pt idx="5">
                  <c:v>2.65</c:v>
                </c:pt>
              </c:numCache>
            </c:numRef>
          </c:xVal>
          <c:yVal>
            <c:numRef>
              <c:f>4</c:f>
              <c:numCache>
                <c:formatCode>General</c:formatCode>
                <c:ptCount val="6"/>
                <c:pt idx="0">
                  <c:v>4</c:v>
                </c:pt>
                <c:pt idx="1">
                  <c:v>4.35</c:v>
                </c:pt>
                <c:pt idx="2">
                  <c:v>3.8</c:v>
                </c:pt>
                <c:pt idx="3">
                  <c:v>4.5</c:v>
                </c:pt>
                <c:pt idx="4">
                  <c:v>4.1</c:v>
                </c:pt>
                <c:pt idx="5">
                  <c:v>4.7</c:v>
                </c:pt>
              </c:numCache>
            </c:numRef>
          </c:yVal>
          <c:smooth val="0"/>
        </c:ser>
        <c:ser>
          <c:idx val="3"/>
          <c:order val="3"/>
          <c:tx>
            <c:strRef>
              <c:f>label 6</c:f>
              <c:strCache>
                <c:ptCount val="1"/>
                <c:pt idx="0">
                  <c:v>本次样本</c:v>
                </c:pt>
              </c:strCache>
            </c:strRef>
          </c:tx>
          <c:spPr>
            <a:solidFill>
              <a:srgbClr val="1f2937"/>
            </a:solidFill>
            <a:ln w="9000">
              <a:noFill/>
            </a:ln>
          </c:spPr>
          <c:marker>
            <c:symbol val="diamond"/>
            <c:size val="10"/>
            <c:spPr>
              <a:solidFill>
                <a:srgbClr val="1f2937"/>
              </a:solidFill>
            </c:spPr>
          </c:marker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xVal>
            <c:numRef>
              <c:f>7</c:f>
              <c:numCache>
                <c:formatCode>General</c:formatCode>
                <c:ptCount val="6"/>
                <c:pt idx="0">
                  <c:v>2</c:v>
                </c:pt>
              </c:numCache>
            </c:numRef>
          </c:xVal>
          <c:yVal>
            <c:numRef>
              <c:f>6</c:f>
              <c:numCache>
                <c:formatCode>General</c:formatCode>
                <c:ptCount val="6"/>
                <c:pt idx="0">
                  <c:v>2.9</c:v>
                </c:pt>
              </c:numCache>
            </c:numRef>
          </c:yVal>
          <c:smooth val="0"/>
        </c:ser>
        <c:axId val="98790640"/>
        <c:axId val="37653730"/>
      </c:scatterChart>
      <c:valAx>
        <c:axId val="98790640"/>
        <c:scaling>
          <c:orientation val="minMax"/>
          <c:max val="6"/>
          <c:min val="0"/>
        </c:scaling>
        <c:delete val="0"/>
        <c:axPos val="b"/>
        <c:title>
          <c:tx>
            <c:rich>
              <a:bodyPr rot="0"/>
              <a:lstStyle/>
              <a:p>
                <a:pPr>
                  <a:defRPr b="0" sz="900" spc="-1" strike="noStrike">
                    <a:solidFill>
                      <a:srgbClr val="30343a"/>
                    </a:solidFill>
                    <a:latin typeface="Noto Sans CJK SC"/>
                  </a:defRPr>
                </a:pPr>
                <a:r>
                  <a:rPr b="0" sz="900" spc="-1" strike="noStrike">
                    <a:solidFill>
                      <a:srgbClr val="30343a"/>
                    </a:solidFill>
                    <a:latin typeface="Noto Sans CJK SC"/>
                  </a:rPr>
                  <a:t>群落组成维度一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0" sourceLinked="0"/>
        <c:majorTickMark val="none"/>
        <c:minorTickMark val="none"/>
        <c:tickLblPos val="none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37653730"/>
        <c:crosses val="autoZero"/>
        <c:crossBetween val="midCat"/>
      </c:valAx>
      <c:valAx>
        <c:axId val="37653730"/>
        <c:scaling>
          <c:orientation val="minMax"/>
          <c:max val="6"/>
          <c:min val="0"/>
        </c:scaling>
        <c:delete val="0"/>
        <c:axPos val="l"/>
        <c:title>
          <c:tx>
            <c:rich>
              <a:bodyPr rot="-5400000"/>
              <a:lstStyle/>
              <a:p>
                <a:pPr>
                  <a:defRPr b="0" sz="900" spc="-1" strike="noStrike">
                    <a:solidFill>
                      <a:srgbClr val="30343a"/>
                    </a:solidFill>
                    <a:latin typeface="Noto Sans CJK SC"/>
                  </a:defRPr>
                </a:pPr>
                <a:r>
                  <a:rPr b="0" sz="900" spc="-1" strike="noStrike">
                    <a:solidFill>
                      <a:srgbClr val="30343a"/>
                    </a:solidFill>
                    <a:latin typeface="Noto Sans CJK SC"/>
                  </a:rPr>
                  <a:t>群落组成维度二</a:t>
                </a:r>
              </a:p>
            </c:rich>
          </c:tx>
          <c:overlay val="0"/>
          <c:spPr>
            <a:noFill/>
            <a:ln w="0">
              <a:noFill/>
            </a:ln>
          </c:spPr>
        </c:title>
        <c:numFmt formatCode="0" sourceLinked="0"/>
        <c:majorTickMark val="none"/>
        <c:minorTickMark val="none"/>
        <c:tickLblPos val="none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98790640"/>
        <c:crosses val="autoZero"/>
        <c:crossBetween val="midCat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b="0" sz="900" spc="-1" strike="noStrike">
              <a:solidFill>
                <a:srgbClr val="30343a"/>
              </a:solidFill>
              <a:latin typeface="Noto Sans CJK SC"/>
            </a:defRPr>
          </a:pPr>
        </a:p>
      </c:txPr>
    </c:legend>
    <c:plotVisOnly val="1"/>
    <c:dispBlanksAs val="gap"/>
  </c:chart>
  <c:spPr>
    <a:noFill/>
    <a:ln w="9000">
      <a:noFill/>
    </a:ln>
  </c:spPr>
  <c:externalData r:id="rId1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roundedCorners val="0"/>
  <c:chart>
    <c:autoTitleDeleted val="1"/>
    <c:plotArea>
      <c:barChart>
        <c:barDir val="bar"/>
        <c:grouping val="clustered"/>
        <c:varyColors val="0"/>
        <c:ser>
          <c:idx val="0"/>
          <c:order val="0"/>
          <c:tx>
            <c:strRef>
              <c:f>label 0</c:f>
              <c:strCache>
                <c:ptCount val="1"/>
                <c:pt idx="0">
                  <c:v>本次样本</c:v>
                </c:pt>
              </c:strCache>
            </c:strRef>
          </c:tx>
          <c:spPr>
            <a:solidFill>
              <a:srgbClr val="246a73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【物种A】</c:v>
                </c:pt>
                <c:pt idx="1">
                  <c:v>【物种B】</c:v>
                </c:pt>
                <c:pt idx="2">
                  <c:v>【物种C】</c:v>
                </c:pt>
                <c:pt idx="3">
                  <c:v>【物种D】</c:v>
                </c:pt>
                <c:pt idx="4">
                  <c:v>【物种E】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5"/>
                <c:pt idx="0">
                  <c:v>26</c:v>
                </c:pt>
                <c:pt idx="1">
                  <c:v>20</c:v>
                </c:pt>
                <c:pt idx="2">
                  <c:v>14</c:v>
                </c:pt>
                <c:pt idx="3">
                  <c:v>10</c:v>
                </c:pt>
                <c:pt idx="4">
                  <c:v>7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参考人群中位数</c:v>
                </c:pt>
              </c:strCache>
            </c:strRef>
          </c:tx>
          <c:spPr>
            <a:solidFill>
              <a:srgbClr val="b8cdd2"/>
            </a:solidFill>
            <a:ln w="9000">
              <a:noFill/>
            </a:ln>
          </c:spPr>
          <c:invertIfNegative val="0"/>
          <c:dLbls>
            <c:txPr>
              <a:bodyPr wrap="none"/>
              <a:lstStyle/>
              <a:p>
                <a:pPr>
                  <a:defRPr b="0" sz="1000" spc="-1" strike="noStrike">
                    <a:latin typeface="Arial"/>
                  </a:defRPr>
                </a:pPr>
              </a:p>
            </c:txPr>
            <c:showLegendKey val="0"/>
            <c:showVal val="0"/>
            <c:showCatName val="0"/>
            <c:showSerName val="0"/>
            <c:showPercent val="0"/>
            <c:separator> </c:separator>
            <c:showLeaderLines val="1"/>
            <c:extLst>
              <c:ext xmlns:c15="http://schemas.microsoft.com/office/drawing/2012/chart" uri="{CE6537A1-D6FC-4f65-9D91-7224C49458BB}">
                <c15:showLeaderLines val="1"/>
              </c:ext>
            </c:extLst>
          </c:dLbls>
          <c:cat>
            <c:strRef>
              <c:f>categories</c:f>
              <c:strCache>
                <c:ptCount val="5"/>
                <c:pt idx="0">
                  <c:v>【物种A】</c:v>
                </c:pt>
                <c:pt idx="1">
                  <c:v>【物种B】</c:v>
                </c:pt>
                <c:pt idx="2">
                  <c:v>【物种C】</c:v>
                </c:pt>
                <c:pt idx="3">
                  <c:v>【物种D】</c:v>
                </c:pt>
                <c:pt idx="4">
                  <c:v>【物种E】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5"/>
                <c:pt idx="0">
                  <c:v>20</c:v>
                </c:pt>
                <c:pt idx="1">
                  <c:v>24</c:v>
                </c:pt>
                <c:pt idx="2">
                  <c:v>10</c:v>
                </c:pt>
                <c:pt idx="3">
                  <c:v>13</c:v>
                </c:pt>
                <c:pt idx="4">
                  <c:v>9</c:v>
                </c:pt>
              </c:numCache>
            </c:numRef>
          </c:val>
        </c:ser>
        <c:gapWidth val="75"/>
        <c:overlap val="0"/>
        <c:axId val="39129721"/>
        <c:axId val="19982702"/>
      </c:barChart>
      <c:catAx>
        <c:axId val="39129721"/>
        <c:scaling>
          <c:orientation val="maxMin"/>
        </c:scaling>
        <c:delete val="0"/>
        <c:axPos val="b"/>
        <c:numFmt formatCode="[$-804]yyyy/m/d" sourceLinked="1"/>
        <c:majorTickMark val="none"/>
        <c:minorTickMark val="none"/>
        <c:tickLblPos val="nextTo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19982702"/>
        <c:crosses val="autoZero"/>
        <c:auto val="1"/>
        <c:lblAlgn val="ctr"/>
        <c:lblOffset val="100"/>
        <c:noMultiLvlLbl val="0"/>
      </c:catAx>
      <c:valAx>
        <c:axId val="19982702"/>
        <c:scaling>
          <c:orientation val="minMax"/>
        </c:scaling>
        <c:delete val="0"/>
        <c:axPos val="l"/>
        <c:numFmt formatCode="0" sourceLinked="0"/>
        <c:majorTickMark val="none"/>
        <c:minorTickMark val="none"/>
        <c:tickLblPos val="none"/>
        <c:spPr>
          <a:ln w="9000">
            <a:noFill/>
          </a:ln>
        </c:spPr>
        <c:txPr>
          <a:bodyPr/>
          <a:lstStyle/>
          <a:p>
            <a:pPr>
              <a:defRPr b="0" sz="950" spc="-1" strike="noStrike">
                <a:solidFill>
                  <a:srgbClr val="30343a"/>
                </a:solidFill>
                <a:latin typeface="Noto Sans CJK SC"/>
              </a:defRPr>
            </a:pPr>
          </a:p>
        </c:txPr>
        <c:crossAx val="39129721"/>
        <c:crosses val="autoZero"/>
        <c:crossBetween val="between"/>
      </c:valAx>
      <c:spPr>
        <a:noFill/>
        <a:ln w="0">
          <a:noFill/>
        </a:ln>
      </c:spPr>
    </c:plotArea>
    <c:legend>
      <c:legendPos val="b"/>
      <c:overlay val="0"/>
      <c:spPr>
        <a:noFill/>
        <a:ln w="0">
          <a:noFill/>
        </a:ln>
      </c:spPr>
      <c:txPr>
        <a:bodyPr/>
        <a:lstStyle/>
        <a:p>
          <a:pPr>
            <a:defRPr b="0" sz="900" spc="-1" strike="noStrike">
              <a:solidFill>
                <a:srgbClr val="30343a"/>
              </a:solidFill>
              <a:latin typeface="Noto Sans CJK SC"/>
            </a:defRPr>
          </a:pPr>
        </a:p>
      </c:txPr>
    </c:legend>
    <c:plotVisOnly val="1"/>
    <c:dispBlanksAs val="gap"/>
  </c:chart>
  <c:spPr>
    <a:noFill/>
    <a:ln w="9000">
      <a:noFill/>
    </a:ln>
  </c:spPr>
  <c:externalData r:id="rId1"/>
</c:chartSpace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LibreOffice/24.2.7.2$Linux_X86_64 LibreOffice_project/420$Build-2</Application>
  <AppVersion>15.0000</AppVersion>
  <Pages>4</Pages>
  <Words>1051</Words>
  <Characters>1063</Characters>
  <CharactersWithSpaces>1133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/>
  <dc:description>generated by python-docx</dc:description>
  <dc:language>zh-CN</dc:language>
  <cp:lastModifiedBy/>
  <dcterms:modified xsi:type="dcterms:W3CDTF">2026-10-23T11:14:26Z</dcterms:modified>
  <cp:revision>2</cp:revision>
  <dc:subject>可编辑图表与结果占位模板</dc:subject>
  <dc:title>03 菌群组成与群落结构正文模板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