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_rels/chart3.xml.rels" ContentType="application/vnd.openxmlformats-package.relationships+xml"/>
  <Override PartName="/word/charts/_rels/chart2.xml.rels" ContentType="application/vnd.openxmlformats-package.relationships+xml"/>
  <Override PartName="/word/charts/_rels/chart1.xml.rels" ContentType="application/vnd.openxmlformats-package.relationship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embeddings/ChartData1.xlsx" ContentType="application/vnd.openxmlformats-officedocument.spreadsheetml.sheet"/>
  <Override PartName="/word/embeddings/ChartData2.xlsx" ContentType="application/vnd.openxmlformats-officedocument.spreadsheetml.sheet"/>
  <Override PartName="/word/embeddings/ChartData3.xlsx" ContentType="application/vnd.openxmlformats-officedocument.spreadsheetml.sheet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napToGrid w:val="false"/>
        <w:rPr>
          <w:rFonts w:ascii="Calibri" w:hAnsi="Calibri" w:eastAsia="" w:cs="" w:asciiTheme="majorHAnsi" w:cstheme="majorBidi" w:eastAsiaTheme="majorEastAsia" w:hAnsiTheme="majorHAnsi"/>
          <w:b/>
          <w:bCs/>
          <w:color w:val="3465A4"/>
          <w:highlight w:val="none"/>
          <w:shd w:fill="auto" w:val="clear"/>
        </w:rPr>
      </w:pPr>
      <w:r>
        <w:rPr>
          <w:rFonts w:eastAsia="" w:cs="" w:cstheme="majorBidi" w:eastAsiaTheme="majorEastAsia"/>
          <w:b/>
          <w:bCs/>
          <w:color w:val="3465A4"/>
          <w:shd w:fill="auto" w:val="clear"/>
        </w:rPr>
        <w:t xml:space="preserve">04 </w:t>
      </w:r>
      <w:r>
        <w:rPr>
          <w:rFonts w:ascii="Calibri" w:hAnsi="Calibri" w:cs="" w:asciiTheme="majorHAnsi" w:cstheme="majorBidi" w:eastAsiaTheme="majorEastAsia" w:hAnsiTheme="majorHAnsi"/>
          <w:b/>
          <w:bCs/>
          <w:color w:val="3465A4"/>
          <w:shd w:fill="auto" w:val="clear"/>
        </w:rPr>
        <w:t>菌群多样性与生态功能结构</w:t>
      </w:r>
    </w:p>
    <w:p>
      <w:pPr>
        <w:pStyle w:val="Normal"/>
        <w:keepNext w:val="false"/>
        <w:snapToGrid w:val="false"/>
        <w:spacing w:before="0" w:after="60"/>
        <w:rPr/>
      </w:pPr>
      <w:r>
        <w:rPr>
          <w:b w:val="false"/>
        </w:rPr>
        <w:t>本章展示菌群多样性、人群位置，以及功能分工与潜在协作特征。</w:t>
      </w:r>
    </w:p>
    <w:p>
      <w:pPr>
        <w:pStyle w:val="Normal"/>
        <w:keepNext w:val="false"/>
        <w:snapToGrid w:val="false"/>
        <w:spacing w:before="0" w:after="100"/>
        <w:rPr/>
      </w:pPr>
      <w:r>
        <w:rPr>
          <w:b w:val="false"/>
          <w:sz w:val="18"/>
        </w:rPr>
        <w:t>图形仅作占位示意；结果、参考范围及解读均待填写。</w:t>
      </w:r>
    </w:p>
    <w:p>
      <w:pPr>
        <w:pStyle w:val="Heading1"/>
        <w:snapToGrid w:val="false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4.1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菌群多样性</w:t>
      </w:r>
    </w:p>
    <w:p>
      <w:pPr>
        <w:pStyle w:val="Normal"/>
        <w:keepNext w:val="true"/>
        <w:snapToGrid w:val="false"/>
        <w:spacing w:before="100" w:after="60"/>
        <w:rPr/>
      </w:pPr>
      <w:r>
        <w:rPr>
          <w:b/>
          <w:sz w:val="20"/>
        </w:rPr>
        <w:t xml:space="preserve">图 </w:t>
      </w:r>
      <w:r>
        <w:rPr>
          <w:b/>
          <w:sz w:val="20"/>
        </w:rPr>
        <w:t xml:space="preserve">4 1  </w:t>
      </w:r>
      <w:r>
        <w:rPr>
          <w:b/>
          <w:sz w:val="20"/>
        </w:rPr>
        <w:t>多样性指标的人群位置</w:t>
      </w:r>
    </w:p>
    <w:p>
      <w:pPr>
        <w:pStyle w:val="Normal"/>
        <w:keepNext w:val="false"/>
        <w:snapToGrid w:val="false"/>
        <w:spacing w:lineRule="auto" w:line="240" w:before="0" w:after="100"/>
        <w:jc w:val="center"/>
        <w:rPr/>
      </w:pPr>
      <w:r>
        <w:rPr/>
        <w:drawing>
          <wp:inline distT="0" distB="0" distL="0" distR="0">
            <wp:extent cx="6400800" cy="1188720"/>
            <wp:effectExtent l="0" t="0" r="0" b="0"/>
            <wp:docPr id="1" name="Chart 1" descr="多样性指标人群分位数占位图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inline>
        </w:drawing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2880"/>
        <w:gridCol w:w="2160"/>
        <w:gridCol w:w="2591"/>
        <w:gridCol w:w="2534"/>
      </w:tblGrid>
      <w:tr>
        <w:trPr>
          <w:tblHeader w:val="true"/>
          <w:cantSplit w:val="true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/>
                <w:sz w:val="20"/>
              </w:rPr>
              <w:t>多样性指标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/>
                <w:sz w:val="20"/>
              </w:rPr>
              <w:t>本次结果</w:t>
            </w:r>
          </w:p>
        </w:tc>
        <w:tc>
          <w:tcPr>
            <w:tcW w:w="25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/>
                <w:sz w:val="20"/>
              </w:rPr>
              <w:t>参考区间</w:t>
            </w:r>
          </w:p>
        </w:tc>
        <w:tc>
          <w:tcPr>
            <w:tcW w:w="25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/>
                <w:sz w:val="20"/>
              </w:rPr>
              <w:t>人群分位数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观测物种数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5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5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丰富度估计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5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5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均匀度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5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5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Shannon</w:t>
            </w:r>
            <w:r>
              <w:rPr>
                <w:b w:val="false"/>
                <w:sz w:val="20"/>
              </w:rPr>
              <w:t>指数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5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5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</w:tbl>
    <w:p>
      <w:pPr>
        <w:pStyle w:val="Normal"/>
        <w:keepNext w:val="false"/>
        <w:snapToGrid w:val="false"/>
        <w:spacing w:before="0" w:after="40"/>
        <w:rPr/>
      </w:pPr>
      <w:r>
        <w:rPr/>
      </w:r>
    </w:p>
    <w:p>
      <w:pPr>
        <w:pStyle w:val="Normal"/>
        <w:keepNext w:val="false"/>
        <w:snapToGrid w:val="false"/>
        <w:spacing w:before="0" w:after="100"/>
        <w:rPr/>
      </w:pPr>
      <w:r>
        <w:rPr/>
        <w:t>指标介绍与解读：</w:t>
      </w:r>
      <w:r>
        <w:rPr/>
        <w:t>Shannon</w:t>
      </w:r>
      <w:r>
        <w:rPr/>
        <w:t>指数——</w:t>
      </w:r>
    </w:p>
    <w:p>
      <w:pPr>
        <w:pStyle w:val="Normal"/>
        <w:snapToGrid w:val="false"/>
        <w:spacing w:before="0" w:after="100"/>
        <w:rPr/>
      </w:pPr>
      <w:r>
        <w:rPr/>
        <w:t>意义解读：                                                                                            参考区间解读：</w:t>
      </w:r>
    </w:p>
    <w:p>
      <w:pPr>
        <w:pStyle w:val="Heading1"/>
        <w:snapToGrid w:val="false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4.2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与匹配参考人群的群落差异</w:t>
      </w:r>
    </w:p>
    <w:p>
      <w:pPr>
        <w:pStyle w:val="Normal"/>
        <w:keepNext w:val="true"/>
        <w:snapToGrid w:val="false"/>
        <w:spacing w:before="100" w:after="60"/>
        <w:rPr/>
      </w:pPr>
      <w:r>
        <w:rPr>
          <w:b/>
          <w:sz w:val="20"/>
        </w:rPr>
        <w:t xml:space="preserve">图 </w:t>
      </w:r>
      <w:r>
        <w:rPr>
          <w:b/>
          <w:sz w:val="20"/>
        </w:rPr>
        <w:t xml:space="preserve">4 2  </w:t>
      </w:r>
      <w:r>
        <w:rPr>
          <w:b/>
          <w:sz w:val="20"/>
        </w:rPr>
        <w:t>群落组成与参考人群的比较</w:t>
      </w:r>
    </w:p>
    <w:p>
      <w:pPr>
        <w:pStyle w:val="Normal"/>
        <w:keepNext w:val="false"/>
        <w:snapToGrid w:val="false"/>
        <w:spacing w:lineRule="auto" w:line="240" w:before="0" w:after="100"/>
        <w:jc w:val="center"/>
        <w:rPr/>
      </w:pPr>
      <w:r>
        <w:rPr/>
        <w:drawing>
          <wp:inline distT="0" distB="0" distL="0" distR="0">
            <wp:extent cx="6400800" cy="1783080"/>
            <wp:effectExtent l="0" t="0" r="0" b="0"/>
            <wp:docPr id="2" name="Chart 2" descr="本样本与匹配参考人群群落差异占位图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参考人群【待填】    群落差异指标【待填】    本次结果【待填】</w:t>
      </w:r>
    </w:p>
    <w:p>
      <w:pPr>
        <w:pStyle w:val="Normal"/>
        <w:keepNext w:val="false"/>
        <w:snapToGrid w:val="false"/>
        <w:spacing w:before="0" w:after="0"/>
        <w:rPr/>
      </w:pPr>
      <w:r>
        <w:rPr>
          <w:b w:val="false"/>
        </w:rPr>
        <w:t>结果解读  【用一至两句话概括多样性与群落差异】</w:t>
      </w:r>
      <w:r>
        <w:br w:type="page"/>
      </w:r>
    </w:p>
    <w:p>
      <w:pPr>
        <w:pStyle w:val="Heading1"/>
        <w:snapToGrid w:val="false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4.3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功能冗余与贡献集中度</w:t>
      </w:r>
    </w:p>
    <w:p>
      <w:pPr>
        <w:pStyle w:val="Normal"/>
        <w:keepNext w:val="true"/>
        <w:snapToGrid w:val="false"/>
        <w:spacing w:before="100" w:after="60"/>
        <w:rPr/>
      </w:pPr>
      <w:r>
        <w:rPr>
          <w:b/>
          <w:sz w:val="20"/>
        </w:rPr>
        <w:t xml:space="preserve">图 </w:t>
      </w:r>
      <w:r>
        <w:rPr>
          <w:b/>
          <w:sz w:val="20"/>
        </w:rPr>
        <w:t xml:space="preserve">4 3  </w:t>
      </w:r>
      <w:r>
        <w:rPr>
          <w:b/>
          <w:sz w:val="20"/>
        </w:rPr>
        <w:t>不同功能的微生物贡献构成</w:t>
      </w:r>
    </w:p>
    <w:p>
      <w:pPr>
        <w:pStyle w:val="Normal"/>
        <w:keepNext w:val="false"/>
        <w:snapToGrid w:val="false"/>
        <w:spacing w:lineRule="auto" w:line="240" w:before="0" w:after="100"/>
        <w:jc w:val="center"/>
        <w:rPr/>
      </w:pPr>
      <w:r>
        <w:rPr/>
        <w:drawing>
          <wp:inline distT="0" distB="0" distL="0" distR="0">
            <wp:extent cx="6400800" cy="1554480"/>
            <wp:effectExtent l="0" t="0" r="0" b="0"/>
            <wp:docPr id="3" name="Chart 3" descr="功能贡献菌组成占位图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2880"/>
        <w:gridCol w:w="2015"/>
        <w:gridCol w:w="2880"/>
        <w:gridCol w:w="2390"/>
      </w:tblGrid>
      <w:tr>
        <w:trPr>
          <w:tblHeader w:val="true"/>
          <w:cantSplit w:val="true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/>
                <w:sz w:val="20"/>
              </w:rPr>
              <w:t>功能项目</w:t>
            </w:r>
          </w:p>
        </w:tc>
        <w:tc>
          <w:tcPr>
            <w:tcW w:w="20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/>
                <w:sz w:val="20"/>
              </w:rPr>
              <w:t>贡献菌数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/>
                <w:sz w:val="20"/>
              </w:rPr>
              <w:t>首位贡献菌占比</w:t>
            </w:r>
          </w:p>
        </w:tc>
        <w:tc>
          <w:tcPr>
            <w:tcW w:w="23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/>
                <w:sz w:val="20"/>
              </w:rPr>
              <w:t>人群分位数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丁酸合成</w:t>
            </w:r>
          </w:p>
        </w:tc>
        <w:tc>
          <w:tcPr>
            <w:tcW w:w="20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  <w:r>
              <w:rPr>
                <w:b w:val="false"/>
                <w:sz w:val="20"/>
              </w:rPr>
              <w:t>%</w:t>
            </w:r>
          </w:p>
        </w:tc>
        <w:tc>
          <w:tcPr>
            <w:tcW w:w="23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乳酸利用</w:t>
            </w:r>
          </w:p>
        </w:tc>
        <w:tc>
          <w:tcPr>
            <w:tcW w:w="20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  <w:r>
              <w:rPr>
                <w:b w:val="false"/>
                <w:sz w:val="20"/>
              </w:rPr>
              <w:t>%</w:t>
            </w:r>
          </w:p>
        </w:tc>
        <w:tc>
          <w:tcPr>
            <w:tcW w:w="23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复杂多糖降解</w:t>
            </w:r>
          </w:p>
        </w:tc>
        <w:tc>
          <w:tcPr>
            <w:tcW w:w="20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  <w:r>
              <w:rPr>
                <w:b w:val="false"/>
                <w:sz w:val="20"/>
              </w:rPr>
              <w:t>%</w:t>
            </w:r>
          </w:p>
        </w:tc>
        <w:tc>
          <w:tcPr>
            <w:tcW w:w="23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</w:tbl>
    <w:p>
      <w:pPr>
        <w:pStyle w:val="Normal"/>
        <w:keepNext w:val="false"/>
        <w:snapToGrid w:val="false"/>
        <w:spacing w:before="0" w:after="40"/>
        <w:rPr/>
      </w:pPr>
      <w:r>
        <w:rPr/>
      </w:r>
    </w:p>
    <w:p>
      <w:pPr>
        <w:pStyle w:val="Normal"/>
        <w:keepNext w:val="false"/>
        <w:snapToGrid w:val="false"/>
        <w:spacing w:before="0" w:after="60"/>
        <w:rPr/>
      </w:pPr>
      <w:r>
        <w:rPr>
          <w:b w:val="false"/>
        </w:rPr>
        <w:t>功能冗余  【是否由多个微生物共同承担同一功能】</w:t>
      </w:r>
    </w:p>
    <w:p>
      <w:pPr>
        <w:pStyle w:val="Normal"/>
        <w:keepNext w:val="false"/>
        <w:snapToGrid w:val="false"/>
        <w:spacing w:before="0" w:after="100"/>
        <w:rPr/>
      </w:pPr>
      <w:r>
        <w:rPr>
          <w:b w:val="false"/>
        </w:rPr>
        <w:t>贡献集中度  【是否主要依赖少数贡献菌及其主要表现】</w:t>
      </w:r>
    </w:p>
    <w:p>
      <w:pPr>
        <w:pStyle w:val="Heading1"/>
        <w:snapToGrid w:val="false"/>
        <w:rPr>
          <w:rFonts w:ascii="Calibri" w:hAnsi="Calibri" w:eastAsia="" w:cs=""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eastAsia="" w:cs="" w:cstheme="majorBidi" w:eastAsiaTheme="majorEastAsia"/>
          <w:color w:val="EA7500"/>
          <w:shd w:fill="auto" w:val="clear"/>
        </w:rPr>
        <w:t xml:space="preserve">4.4 </w:t>
      </w:r>
      <w:r>
        <w:rPr>
          <w:rFonts w:ascii="Calibri" w:hAnsi="Calibri" w:cs="" w:asciiTheme="majorHAnsi" w:cstheme="majorBidi" w:eastAsiaTheme="majorEastAsia" w:hAnsiTheme="majorHAnsi"/>
          <w:color w:val="EA7500"/>
          <w:shd w:fill="auto" w:val="clear"/>
        </w:rPr>
        <w:t>潜在代谢协作</w:t>
      </w:r>
    </w:p>
    <w:p>
      <w:pPr>
        <w:pStyle w:val="Normal"/>
        <w:keepNext w:val="true"/>
        <w:snapToGrid w:val="false"/>
        <w:spacing w:before="100" w:after="60"/>
        <w:rPr/>
      </w:pPr>
      <w:r>
        <w:rPr>
          <w:b/>
          <w:sz w:val="20"/>
        </w:rPr>
        <w:t xml:space="preserve">图 </w:t>
      </w:r>
      <w:r>
        <w:rPr>
          <w:b/>
          <w:sz w:val="20"/>
        </w:rPr>
        <w:t xml:space="preserve">4 4  </w:t>
      </w:r>
      <w:r>
        <w:rPr>
          <w:b/>
          <w:sz w:val="20"/>
        </w:rPr>
        <w:t>底物与产物利用路径</w:t>
      </w:r>
    </w:p>
    <w:p>
      <w:pPr>
        <w:pStyle w:val="Normal"/>
        <w:keepNext w:val="false"/>
        <w:snapToGrid w:val="false"/>
        <w:spacing w:before="0" w:after="80"/>
        <w:jc w:val="center"/>
        <w:rPr/>
      </w:pPr>
      <w:r>
        <w:rPr/>
        <mc:AlternateContent>
          <mc:Choice Requires="wpg">
            <w:drawing>
              <wp:inline distT="0" distB="0" distL="0" distR="0">
                <wp:extent cx="6350000" cy="825500"/>
                <wp:effectExtent l="114300" t="0" r="114300" b="0"/>
                <wp:docPr id="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40" cy="825480"/>
                          <a:chOff x="0" y="0"/>
                          <a:chExt cx="6350040" cy="825480"/>
                        </a:xfrm>
                      </wpg:grpSpPr>
                      <wps:wsp>
                        <wps:cNvSpPr/>
                        <wps:nvSpPr>
                          <wps:cNvPr id="5" name=""/>
                          <wps:cNvSpPr/>
                        </wps:nvSpPr>
                        <wps:spPr>
                          <a:xfrm>
                            <a:off x="0" y="0"/>
                            <a:ext cx="1828800" cy="82548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底物初级降解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贡献菌【待填】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底物【待填】</w:t>
                              </w:r>
                            </w:p>
                          </w:txbxContent>
                        </wps:txbx>
                        <wps:bodyPr lIns="88920" rIns="88920" tIns="101520" bIns="76320" anchor="t" anchorCtr="1">
                          <a:noAutofit/>
                        </wps:bodyPr>
                      </wps:wsp>
                      <wps:wsp>
                        <wps:cNvSpPr/>
                        <wps:nvSpPr>
                          <wps:cNvPr id="6" name=""/>
                          <wps:cNvSpPr/>
                        </wps:nvSpPr>
                        <wps:spPr>
                          <a:xfrm>
                            <a:off x="2260440" y="0"/>
                            <a:ext cx="1828800" cy="82548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中间产物周转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贡献菌【待填】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产物【待填】</w:t>
                              </w:r>
                            </w:p>
                          </w:txbxContent>
                        </wps:txbx>
                        <wps:bodyPr lIns="88920" rIns="88920" tIns="101520" bIns="76320" anchor="t" anchorCtr="1">
                          <a:noAutofit/>
                        </wps:bodyPr>
                      </wps:wsp>
                      <wps:wsp>
                        <wps:cNvSpPr/>
                        <wps:nvSpPr>
                          <wps:cNvPr id="7" name=""/>
                          <wps:cNvSpPr/>
                        </wps:nvSpPr>
                        <wps:spPr>
                          <a:xfrm>
                            <a:off x="4521240" y="0"/>
                            <a:ext cx="1828800" cy="825480"/>
                          </a:xfrm>
                          <a:prstGeom prst="rect">
                            <a:avLst/>
                          </a:prstGeom>
                          <a:solidFill>
                            <a:srgbClr val="e2edf0"/>
                          </a:solidFill>
                          <a:ln w="9000">
                            <a:solidFill>
                              <a:srgbClr val="b8cdd2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终产物生成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贡献菌【待填】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center"/>
                                <w:rPr/>
                              </w:pPr>
                              <w:r>
                                <w:rPr>
                                  <w:rFonts w:asciiTheme="minorHAnsi" w:cstheme="minorBidi" w:eastAsiaTheme="minorEastAsia" w:hAnsiTheme="minorHAnsi" w:ascii="Noto Sans CJK SC" w:hAnsi="Noto Sans CJK SC" w:eastAsia="Noto Sans CJK SC" w:cs=""/>
                                  <w:color w:val="000000"/>
                                </w:rPr>
                                <w:t>产物【待填】</w:t>
                              </w:r>
                            </w:p>
                          </w:txbxContent>
                        </wps:txbx>
                        <wps:bodyPr lIns="88920" rIns="88920" tIns="101520" bIns="76320" anchor="t" anchorCtr="1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892160" y="419040"/>
                            <a:ext cx="304920" cy="0"/>
                          </a:xfrm>
                          <a:prstGeom prst="line">
                            <a:avLst/>
                          </a:prstGeom>
                          <a:ln w="17640">
                            <a:solidFill>
                              <a:srgbClr val="246a73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152960" y="419040"/>
                            <a:ext cx="304920" cy="0"/>
                          </a:xfrm>
                          <a:prstGeom prst="line">
                            <a:avLst/>
                          </a:prstGeom>
                          <a:ln w="17640">
                            <a:solidFill>
                              <a:srgbClr val="246a73"/>
                            </a:solidFill>
                            <a:round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65.05pt;width:500pt;height:65pt" coordorigin="0,-1301" coordsize="10000,1300">
                <v:rect id="shape_0" fillcolor="#e2edf0" stroked="t" o:allowincell="f" style="position:absolute;left:0;top:-1301;width:2879;height:129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底物初级降解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贡献菌【待填】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底物【待填】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  <v:rect id="shape_0" fillcolor="#e2edf0" stroked="t" o:allowincell="f" style="position:absolute;left:3560;top:-1301;width:2879;height:129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中间产物周转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贡献菌【待填】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产物【待填】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  <v:rect id="shape_0" fillcolor="#e2edf0" stroked="t" o:allowincell="f" style="position:absolute;left:7120;top:-1301;width:2879;height:1299;mso-wrap-style:square;v-text-anchor:top-center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终产物生成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贡献菌【待填】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jc w:val="center"/>
                          <w:rPr/>
                        </w:pPr>
                        <w:r>
                          <w:rPr>
                            <w:rFonts w:asciiTheme="minorHAnsi" w:cstheme="minorBidi" w:eastAsiaTheme="minorEastAsia" w:hAnsiTheme="minorHAnsi" w:ascii="Noto Sans CJK SC" w:hAnsi="Noto Sans CJK SC" w:eastAsia="Noto Sans CJK SC" w:cs=""/>
                            <w:color w:val="000000"/>
                          </w:rPr>
                          <w:t>产物【待填】</w:t>
                        </w:r>
                      </w:p>
                    </w:txbxContent>
                  </v:textbox>
                  <v:fill o:detectmouseclick="t" type="solid" color2="#1d120f"/>
                  <v:stroke color="#b8cdd2" weight="9000" joinstyle="round" endcap="flat"/>
                  <w10:wrap type="none"/>
                </v:rect>
                <v:line id="shape_0" from="2980,-641" to="3459,-641" stroked="t" o:allowincell="f" style="position:absolute;mso-position-vertical:top">
                  <v:stroke color="#246a73" weight="17640" endarrow="block" endarrowwidth="medium" endarrowlength="medium" joinstyle="round" endcap="flat"/>
                  <v:fill o:detectmouseclick="t" on="false"/>
                  <w10:wrap type="none"/>
                </v:line>
                <v:line id="shape_0" from="6540,-641" to="7019,-641" stroked="t" o:allowincell="f" style="position:absolute;mso-position-vertical:top">
                  <v:stroke color="#246a73" weight="17640" endarrow="block" endarrowwidth="medium" endarrowlength="medium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2303"/>
        <w:gridCol w:w="2305"/>
        <w:gridCol w:w="3167"/>
        <w:gridCol w:w="2390"/>
      </w:tblGrid>
      <w:tr>
        <w:trPr>
          <w:tblHeader w:val="true"/>
          <w:cantSplit w:val="true"/>
        </w:trPr>
        <w:tc>
          <w:tcPr>
            <w:tcW w:w="23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/>
                <w:sz w:val="20"/>
              </w:rPr>
              <w:t>功能环节</w:t>
            </w:r>
          </w:p>
        </w:tc>
        <w:tc>
          <w:tcPr>
            <w:tcW w:w="2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/>
                <w:sz w:val="20"/>
              </w:rPr>
              <w:t>主要贡献菌</w:t>
            </w:r>
          </w:p>
        </w:tc>
        <w:tc>
          <w:tcPr>
            <w:tcW w:w="3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/>
                <w:sz w:val="20"/>
              </w:rPr>
              <w:t>关键功能或产物</w:t>
            </w:r>
          </w:p>
        </w:tc>
        <w:tc>
          <w:tcPr>
            <w:tcW w:w="23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/>
                <w:sz w:val="20"/>
              </w:rPr>
              <w:t>连接证据</w:t>
            </w:r>
          </w:p>
        </w:tc>
      </w:tr>
      <w:tr>
        <w:trPr>
          <w:cantSplit w:val="true"/>
        </w:trPr>
        <w:tc>
          <w:tcPr>
            <w:tcW w:w="23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底物初级降解</w:t>
            </w:r>
          </w:p>
        </w:tc>
        <w:tc>
          <w:tcPr>
            <w:tcW w:w="2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3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23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中间产物周转</w:t>
            </w:r>
          </w:p>
        </w:tc>
        <w:tc>
          <w:tcPr>
            <w:tcW w:w="2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3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23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终产物生成</w:t>
            </w:r>
          </w:p>
        </w:tc>
        <w:tc>
          <w:tcPr>
            <w:tcW w:w="23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31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3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</w:tbl>
    <w:p>
      <w:pPr>
        <w:pStyle w:val="Normal"/>
        <w:keepNext w:val="false"/>
        <w:snapToGrid w:val="false"/>
        <w:spacing w:before="0" w:after="40"/>
        <w:rPr/>
      </w:pPr>
      <w:r>
        <w:rPr/>
      </w:r>
    </w:p>
    <w:p>
      <w:pPr>
        <w:pStyle w:val="Normal"/>
        <w:keepNext w:val="false"/>
        <w:snapToGrid w:val="false"/>
        <w:spacing w:before="0" w:after="60"/>
        <w:rPr/>
      </w:pPr>
      <w:r>
        <w:rPr>
          <w:b w:val="false"/>
        </w:rPr>
        <w:t>结果解读  【概括潜在分工、衔接环节及证据充分程度】</w:t>
      </w:r>
    </w:p>
    <w:p>
      <w:pPr>
        <w:pStyle w:val="Normal"/>
        <w:keepNext w:val="false"/>
        <w:snapToGrid w:val="false"/>
        <w:spacing w:before="0" w:after="0"/>
        <w:rPr/>
      </w:pPr>
      <w:r>
        <w:rPr>
          <w:b w:val="false"/>
          <w:sz w:val="18"/>
        </w:rPr>
        <w:t>本栏描述潜在功能协作，不直接代表实际菌间相互作用或生态恢复力。</w:t>
      </w:r>
    </w:p>
    <w:sectPr>
      <w:footerReference w:type="even" r:id="rId5"/>
      <w:footerReference w:type="default" r:id="rId6"/>
      <w:footerReference w:type="first" r:id="rId7"/>
      <w:type w:val="nextPage"/>
      <w:pgSz w:w="12240" w:h="15840"/>
      <w:pgMar w:left="1037" w:right="1037" w:gutter="0" w:header="0" w:top="907" w:footer="36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Noto Sans CJK SC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color w:val="6B7280"/>
        <w:sz w:val="16"/>
      </w:rPr>
      <w:t xml:space="preserve">04 </w:t>
    </w:r>
    <w:r>
      <w:rPr>
        <w:color w:val="6B7280"/>
        <w:sz w:val="16"/>
      </w:rPr>
      <w:t xml:space="preserve">菌群多样性与生态功能结构  </w:t>
    </w:r>
    <w:r>
      <w:rPr>
        <w:color w:val="6B7280"/>
        <w:sz w:val="16"/>
      </w:rPr>
      <w:t xml:space="preserve">|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color w:val="6B7280"/>
        <w:sz w:val="16"/>
      </w:rPr>
      <w:t xml:space="preserve">04 </w:t>
    </w:r>
    <w:r>
      <w:rPr>
        <w:color w:val="6B7280"/>
        <w:sz w:val="16"/>
      </w:rPr>
      <w:t xml:space="preserve">菌群多样性与生态功能结构  </w:t>
    </w:r>
    <w:r>
      <w:rPr>
        <w:color w:val="6B7280"/>
        <w:sz w:val="16"/>
      </w:rPr>
      <w:t xml:space="preserve">|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100"/>
      <w:jc w:val="left"/>
    </w:pPr>
    <w:rPr>
      <w:rFonts w:ascii="Noto Sans CJK SC" w:hAnsi="Noto Sans CJK SC" w:eastAsia="Noto Sans CJK SC" w:cs=""/>
      <w:color w:val="000000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60" w:after="14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20" w:after="8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qFormat/>
    <w:pPr>
      <w:suppressLineNumbers/>
    </w:pPr>
    <w:rPr>
      <w:rFonts w:cs="Noto Sans CJK SC"/>
    </w:rPr>
  </w:style>
  <w:style w:type="paragraph" w:styleId="Style7">
    <w:name w:val="页眉与页脚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120"/>
      <w:contextualSpacing/>
    </w:pPr>
    <w:rPr>
      <w:rFonts w:ascii="Calibri" w:hAnsi="Calibri" w:eastAsia="" w:cs="" w:asciiTheme="majorHAnsi" w:cstheme="majorBidi" w:eastAsiaTheme="majorEastAsia" w:hAnsiTheme="majorHAnsi"/>
      <w:color w:val="000000"/>
      <w:spacing w:val="5"/>
      <w:kern w:val="2"/>
      <w:sz w:val="4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charts/_rels/chart1.xml.rels><?xml version="1.0" encoding="UTF-8"?>
<Relationships xmlns="http://schemas.openxmlformats.org/package/2006/relationships"><Relationship Id="rId1" Type="http://schemas.openxmlformats.org/officeDocument/2006/relationships/package" Target="../embeddings/ChartData1.xlsx"/>
</Relationships>
</file>

<file path=word/charts/_rels/chart2.xml.rels><?xml version="1.0" encoding="UTF-8"?>
<Relationships xmlns="http://schemas.openxmlformats.org/package/2006/relationships"><Relationship Id="rId1" Type="http://schemas.openxmlformats.org/officeDocument/2006/relationships/package" Target="../embeddings/ChartData2.xlsx"/>
</Relationships>
</file>

<file path=word/charts/_rels/chart3.xml.rels><?xml version="1.0" encoding="UTF-8"?>
<Relationships xmlns="http://schemas.openxmlformats.org/package/2006/relationships"><Relationship Id="rId1" Type="http://schemas.openxmlformats.org/officeDocument/2006/relationships/package" Target="../embeddings/ChartData3.xlsx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barChart>
        <c:barDir val="bar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人群分位数</c:v>
                </c:pt>
              </c:strCache>
            </c:strRef>
          </c:tx>
          <c:spPr>
            <a:solidFill>
              <a:srgbClr val="246a73"/>
            </a:solidFill>
            <a:ln w="900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观测物种数</c:v>
                </c:pt>
                <c:pt idx="1">
                  <c:v>丰富度估计</c:v>
                </c:pt>
                <c:pt idx="2">
                  <c:v>均匀度</c:v>
                </c:pt>
                <c:pt idx="3">
                  <c:v>Shannon指数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70</c:v>
                </c:pt>
                <c:pt idx="1">
                  <c:v>55</c:v>
                </c:pt>
                <c:pt idx="2">
                  <c:v>65</c:v>
                </c:pt>
                <c:pt idx="3">
                  <c:v>45</c:v>
                </c:pt>
              </c:numCache>
            </c:numRef>
          </c:val>
        </c:ser>
        <c:gapWidth val="75"/>
        <c:overlap val="0"/>
        <c:axId val="64717588"/>
        <c:axId val="44848640"/>
      </c:barChart>
      <c:catAx>
        <c:axId val="64717588"/>
        <c:scaling>
          <c:orientation val="maxMin"/>
        </c:scaling>
        <c:delete val="0"/>
        <c:axPos val="b"/>
        <c:numFmt formatCode="[$-804]yyyy/m/d" sourceLinked="1"/>
        <c:majorTickMark val="none"/>
        <c:minorTickMark val="none"/>
        <c:tickLblPos val="nextTo"/>
        <c:spPr>
          <a:ln w="9000">
            <a:noFill/>
          </a:ln>
        </c:spPr>
        <c:txPr>
          <a:bodyPr/>
          <a:lstStyle/>
          <a:p>
            <a:pPr>
              <a:defRPr b="0" sz="950" spc="-1" strike="noStrike">
                <a:solidFill>
                  <a:srgbClr val="30343a"/>
                </a:solidFill>
                <a:latin typeface="Noto Sans CJK SC"/>
              </a:defRPr>
            </a:pPr>
          </a:p>
        </c:txPr>
        <c:crossAx val="44848640"/>
        <c:crosses val="autoZero"/>
        <c:auto val="1"/>
        <c:lblAlgn val="ctr"/>
        <c:lblOffset val="100"/>
        <c:noMultiLvlLbl val="0"/>
      </c:catAx>
      <c:valAx>
        <c:axId val="44848640"/>
        <c:scaling>
          <c:orientation val="minMax"/>
          <c:max val="100"/>
        </c:scaling>
        <c:delete val="0"/>
        <c:axPos val="l"/>
        <c:numFmt formatCode="0" sourceLinked="0"/>
        <c:majorTickMark val="none"/>
        <c:minorTickMark val="none"/>
        <c:tickLblPos val="none"/>
        <c:spPr>
          <a:ln w="9000">
            <a:noFill/>
          </a:ln>
        </c:spPr>
        <c:txPr>
          <a:bodyPr/>
          <a:lstStyle/>
          <a:p>
            <a:pPr>
              <a:defRPr b="0" sz="950" spc="-1" strike="noStrike">
                <a:solidFill>
                  <a:srgbClr val="30343a"/>
                </a:solidFill>
                <a:latin typeface="Noto Sans CJK SC"/>
              </a:defRPr>
            </a:pPr>
          </a:p>
        </c:txPr>
        <c:crossAx val="64717588"/>
        <c:crosses val="autoZero"/>
        <c:crossBetween val="between"/>
      </c:valAx>
      <c:spPr>
        <a:noFill/>
        <a:ln w="0">
          <a:noFill/>
        </a:ln>
      </c:spPr>
    </c:plotArea>
    <c:plotVisOnly val="1"/>
    <c:dispBlanksAs val="gap"/>
  </c:chart>
  <c:spPr>
    <a:noFill/>
    <a:ln w="9000">
      <a:noFill/>
    </a:ln>
  </c:spPr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scatterChart>
        <c:scatterStyle val="lineMarker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匹配参考人群</c:v>
                </c:pt>
              </c:strCache>
            </c:strRef>
          </c:tx>
          <c:spPr>
            <a:solidFill>
              <a:srgbClr val="8ab8c2"/>
            </a:solidFill>
            <a:ln w="9000">
              <a:noFill/>
            </a:ln>
          </c:spPr>
          <c:marker>
            <c:symbol val="circle"/>
            <c:size val="7"/>
            <c:spPr>
              <a:solidFill>
                <a:srgbClr val="8ab8c2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1</c:f>
              <c:numCache>
                <c:formatCode>General</c:formatCode>
                <c:ptCount val="12"/>
                <c:pt idx="0">
                  <c:v>1.8</c:v>
                </c:pt>
                <c:pt idx="1">
                  <c:v>2.1</c:v>
                </c:pt>
                <c:pt idx="2">
                  <c:v>2.4</c:v>
                </c:pt>
                <c:pt idx="3">
                  <c:v>2.6</c:v>
                </c:pt>
                <c:pt idx="4">
                  <c:v>2.9</c:v>
                </c:pt>
                <c:pt idx="5">
                  <c:v>3.1</c:v>
                </c:pt>
                <c:pt idx="6">
                  <c:v>3.3</c:v>
                </c:pt>
                <c:pt idx="7">
                  <c:v>3.6</c:v>
                </c:pt>
                <c:pt idx="8">
                  <c:v>2.1</c:v>
                </c:pt>
                <c:pt idx="9">
                  <c:v>2.7</c:v>
                </c:pt>
                <c:pt idx="10">
                  <c:v>3.2</c:v>
                </c:pt>
                <c:pt idx="11">
                  <c:v>3.8</c:v>
                </c:pt>
              </c:numCache>
            </c:numRef>
          </c:xVal>
          <c:yVal>
            <c:numRef>
              <c:f>0</c:f>
              <c:numCache>
                <c:formatCode>General</c:formatCode>
                <c:ptCount val="12"/>
                <c:pt idx="0">
                  <c:v>2.4</c:v>
                </c:pt>
                <c:pt idx="1">
                  <c:v>3</c:v>
                </c:pt>
                <c:pt idx="2">
                  <c:v>1.9</c:v>
                </c:pt>
                <c:pt idx="3">
                  <c:v>3.8</c:v>
                </c:pt>
                <c:pt idx="4">
                  <c:v>2.5</c:v>
                </c:pt>
                <c:pt idx="5">
                  <c:v>3.4</c:v>
                </c:pt>
                <c:pt idx="6">
                  <c:v>1.9</c:v>
                </c:pt>
                <c:pt idx="7">
                  <c:v>2.9</c:v>
                </c:pt>
                <c:pt idx="8">
                  <c:v>3.7</c:v>
                </c:pt>
                <c:pt idx="9">
                  <c:v>3.1</c:v>
                </c:pt>
                <c:pt idx="10">
                  <c:v>4</c:v>
                </c:pt>
                <c:pt idx="11">
                  <c:v>3.5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label 2</c:f>
              <c:strCache>
                <c:ptCount val="1"/>
                <c:pt idx="0">
                  <c:v>本次样本</c:v>
                </c:pt>
              </c:strCache>
            </c:strRef>
          </c:tx>
          <c:spPr>
            <a:solidFill>
              <a:srgbClr val="1f2937"/>
            </a:solidFill>
            <a:ln w="9000">
              <a:noFill/>
            </a:ln>
          </c:spPr>
          <c:marker>
            <c:symbol val="diamond"/>
            <c:size val="10"/>
            <c:spPr>
              <a:solidFill>
                <a:srgbClr val="1f2937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3</c:f>
              <c:numCache>
                <c:formatCode>General</c:formatCode>
                <c:ptCount val="12"/>
                <c:pt idx="0">
                  <c:v>4.2</c:v>
                </c:pt>
              </c:numCache>
            </c:numRef>
          </c:xVal>
          <c:yVal>
            <c:numRef>
              <c:f>2</c:f>
              <c:numCache>
                <c:formatCode>General</c:formatCode>
                <c:ptCount val="12"/>
                <c:pt idx="0">
                  <c:v>3.9</c:v>
                </c:pt>
              </c:numCache>
            </c:numRef>
          </c:yVal>
          <c:smooth val="0"/>
        </c:ser>
        <c:axId val="97782990"/>
        <c:axId val="42472039"/>
      </c:scatterChart>
      <c:valAx>
        <c:axId val="97782990"/>
        <c:scaling>
          <c:orientation val="minMax"/>
          <c:max val="6"/>
          <c:min val="0"/>
        </c:scaling>
        <c:delete val="0"/>
        <c:axPos val="b"/>
        <c:title>
          <c:tx>
            <c:rich>
              <a:bodyPr rot="0"/>
              <a:lstStyle/>
              <a:p>
                <a:pPr>
                  <a:defRPr b="0" sz="900" spc="-1" strike="noStrike">
                    <a:solidFill>
                      <a:srgbClr val="30343a"/>
                    </a:solidFill>
                    <a:latin typeface="Noto Sans CJK SC"/>
                  </a:defRPr>
                </a:pPr>
                <a:r>
                  <a:rPr b="0" sz="900" spc="-1" strike="noStrike">
                    <a:solidFill>
                      <a:srgbClr val="30343a"/>
                    </a:solidFill>
                    <a:latin typeface="Noto Sans CJK SC"/>
                  </a:rPr>
                  <a:t>群落组成维度一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0" sourceLinked="0"/>
        <c:majorTickMark val="none"/>
        <c:minorTickMark val="none"/>
        <c:tickLblPos val="none"/>
        <c:spPr>
          <a:ln w="9000">
            <a:noFill/>
          </a:ln>
        </c:spPr>
        <c:txPr>
          <a:bodyPr/>
          <a:lstStyle/>
          <a:p>
            <a:pPr>
              <a:defRPr b="0" sz="950" spc="-1" strike="noStrike">
                <a:solidFill>
                  <a:srgbClr val="30343a"/>
                </a:solidFill>
                <a:latin typeface="Noto Sans CJK SC"/>
              </a:defRPr>
            </a:pPr>
          </a:p>
        </c:txPr>
        <c:crossAx val="42472039"/>
        <c:crosses val="autoZero"/>
        <c:crossBetween val="midCat"/>
      </c:valAx>
      <c:valAx>
        <c:axId val="42472039"/>
        <c:scaling>
          <c:orientation val="minMax"/>
          <c:max val="6"/>
          <c:min val="0"/>
        </c:scaling>
        <c:delete val="0"/>
        <c:axPos val="l"/>
        <c:title>
          <c:tx>
            <c:rich>
              <a:bodyPr rot="-5400000"/>
              <a:lstStyle/>
              <a:p>
                <a:pPr>
                  <a:defRPr b="0" sz="900" spc="-1" strike="noStrike">
                    <a:solidFill>
                      <a:srgbClr val="30343a"/>
                    </a:solidFill>
                    <a:latin typeface="Noto Sans CJK SC"/>
                  </a:defRPr>
                </a:pPr>
                <a:r>
                  <a:rPr b="0" sz="900" spc="-1" strike="noStrike">
                    <a:solidFill>
                      <a:srgbClr val="30343a"/>
                    </a:solidFill>
                    <a:latin typeface="Noto Sans CJK SC"/>
                  </a:rPr>
                  <a:t>群落组成维度二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0" sourceLinked="0"/>
        <c:majorTickMark val="none"/>
        <c:minorTickMark val="none"/>
        <c:tickLblPos val="none"/>
        <c:spPr>
          <a:ln w="9000">
            <a:noFill/>
          </a:ln>
        </c:spPr>
        <c:txPr>
          <a:bodyPr/>
          <a:lstStyle/>
          <a:p>
            <a:pPr>
              <a:defRPr b="0" sz="950" spc="-1" strike="noStrike">
                <a:solidFill>
                  <a:srgbClr val="30343a"/>
                </a:solidFill>
                <a:latin typeface="Noto Sans CJK SC"/>
              </a:defRPr>
            </a:pPr>
          </a:p>
        </c:txPr>
        <c:crossAx val="97782990"/>
        <c:crosses val="autoZero"/>
        <c:crossBetween val="midCat"/>
      </c:valAx>
      <c:spPr>
        <a:noFill/>
        <a:ln w="0">
          <a:noFill/>
        </a:ln>
      </c:spPr>
    </c:plotArea>
    <c:legend>
      <c:legendPos val="b"/>
      <c:overlay val="0"/>
      <c:spPr>
        <a:noFill/>
        <a:ln w="0">
          <a:noFill/>
        </a:ln>
      </c:spPr>
      <c:txPr>
        <a:bodyPr/>
        <a:lstStyle/>
        <a:p>
          <a:pPr>
            <a:defRPr b="0" sz="900" spc="-1" strike="noStrike">
              <a:solidFill>
                <a:srgbClr val="30343a"/>
              </a:solidFill>
              <a:latin typeface="Noto Sans CJK SC"/>
            </a:defRPr>
          </a:pPr>
        </a:p>
      </c:txPr>
    </c:legend>
    <c:plotVisOnly val="1"/>
    <c:dispBlanksAs val="gap"/>
  </c:chart>
  <c:spPr>
    <a:noFill/>
    <a:ln w="9000">
      <a:noFill/>
    </a:ln>
  </c:spPr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barChart>
        <c:barDir val="bar"/>
        <c:grouping val="percentStack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【贡献菌A】</c:v>
                </c:pt>
              </c:strCache>
            </c:strRef>
          </c:tx>
          <c:spPr>
            <a:solidFill>
              <a:srgbClr val="246a73"/>
            </a:solidFill>
            <a:ln w="900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丁酸合成</c:v>
                </c:pt>
                <c:pt idx="1">
                  <c:v>乳酸利用</c:v>
                </c:pt>
                <c:pt idx="2">
                  <c:v>复杂多糖降解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55</c:v>
                </c:pt>
                <c:pt idx="1">
                  <c:v>30</c:v>
                </c:pt>
                <c:pt idx="2">
                  <c:v>20</c:v>
                </c:pt>
              </c:numCache>
            </c:numRef>
          </c:val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【贡献菌B】</c:v>
                </c:pt>
              </c:strCache>
            </c:strRef>
          </c:tx>
          <c:spPr>
            <a:solidFill>
              <a:srgbClr val="4a86a4"/>
            </a:solidFill>
            <a:ln w="900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丁酸合成</c:v>
                </c:pt>
                <c:pt idx="1">
                  <c:v>乳酸利用</c:v>
                </c:pt>
                <c:pt idx="2">
                  <c:v>复杂多糖降解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3"/>
                <c:pt idx="0">
                  <c:v>25</c:v>
                </c:pt>
                <c:pt idx="1">
                  <c:v>35</c:v>
                </c:pt>
                <c:pt idx="2">
                  <c:v>20</c:v>
                </c:pt>
              </c:numCache>
            </c:numRef>
          </c:val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【贡献菌C】</c:v>
                </c:pt>
              </c:strCache>
            </c:strRef>
          </c:tx>
          <c:spPr>
            <a:solidFill>
              <a:srgbClr val="8ab8c2"/>
            </a:solidFill>
            <a:ln w="900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丁酸合成</c:v>
                </c:pt>
                <c:pt idx="1">
                  <c:v>乳酸利用</c:v>
                </c:pt>
                <c:pt idx="2">
                  <c:v>复杂多糖降解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35</c:v>
                </c:pt>
              </c:numCache>
            </c:numRef>
          </c:val>
        </c:ser>
        <c:ser>
          <c:idx val="3"/>
          <c:order val="3"/>
          <c:tx>
            <c:strRef>
              <c:f>label 3</c:f>
              <c:strCache>
                <c:ptCount val="1"/>
                <c:pt idx="0">
                  <c:v>其他贡献菌</c:v>
                </c:pt>
              </c:strCache>
            </c:strRef>
          </c:tx>
          <c:spPr>
            <a:solidFill>
              <a:srgbClr val="e7e9ec"/>
            </a:solidFill>
            <a:ln w="900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"/>
                <c:pt idx="0">
                  <c:v>丁酸合成</c:v>
                </c:pt>
                <c:pt idx="1">
                  <c:v>乳酸利用</c:v>
                </c:pt>
                <c:pt idx="2">
                  <c:v>复杂多糖降解</c:v>
                </c:pt>
              </c:strCache>
            </c:strRef>
          </c:cat>
          <c:val>
            <c:numRef>
              <c:f>3</c:f>
              <c:numCache>
                <c:formatCode>General</c:formatCode>
                <c:ptCount val="3"/>
                <c:pt idx="0">
                  <c:v>10</c:v>
                </c:pt>
                <c:pt idx="1">
                  <c:v>15</c:v>
                </c:pt>
                <c:pt idx="2">
                  <c:v>25</c:v>
                </c:pt>
              </c:numCache>
            </c:numRef>
          </c:val>
        </c:ser>
        <c:gapWidth val="65"/>
        <c:overlap val="100"/>
        <c:axId val="42418174"/>
        <c:axId val="2386983"/>
      </c:barChart>
      <c:catAx>
        <c:axId val="42418174"/>
        <c:scaling>
          <c:orientation val="maxMin"/>
        </c:scaling>
        <c:delete val="0"/>
        <c:axPos val="b"/>
        <c:numFmt formatCode="[$-804]yyyy/m/d" sourceLinked="1"/>
        <c:majorTickMark val="none"/>
        <c:minorTickMark val="none"/>
        <c:tickLblPos val="nextTo"/>
        <c:spPr>
          <a:ln w="9000">
            <a:noFill/>
          </a:ln>
        </c:spPr>
        <c:txPr>
          <a:bodyPr/>
          <a:lstStyle/>
          <a:p>
            <a:pPr>
              <a:defRPr b="0" sz="950" spc="-1" strike="noStrike">
                <a:solidFill>
                  <a:srgbClr val="30343a"/>
                </a:solidFill>
                <a:latin typeface="Noto Sans CJK SC"/>
              </a:defRPr>
            </a:pPr>
          </a:p>
        </c:txPr>
        <c:crossAx val="2386983"/>
        <c:crosses val="autoZero"/>
        <c:auto val="1"/>
        <c:lblAlgn val="ctr"/>
        <c:lblOffset val="100"/>
        <c:noMultiLvlLbl val="0"/>
      </c:catAx>
      <c:valAx>
        <c:axId val="2386983"/>
        <c:scaling>
          <c:orientation val="minMax"/>
        </c:scaling>
        <c:delete val="0"/>
        <c:axPos val="l"/>
        <c:numFmt formatCode="0" sourceLinked="0"/>
        <c:majorTickMark val="none"/>
        <c:minorTickMark val="none"/>
        <c:tickLblPos val="none"/>
        <c:spPr>
          <a:ln w="9000">
            <a:noFill/>
          </a:ln>
        </c:spPr>
        <c:txPr>
          <a:bodyPr/>
          <a:lstStyle/>
          <a:p>
            <a:pPr>
              <a:defRPr b="0" sz="950" spc="-1" strike="noStrike">
                <a:solidFill>
                  <a:srgbClr val="30343a"/>
                </a:solidFill>
                <a:latin typeface="Noto Sans CJK SC"/>
              </a:defRPr>
            </a:pPr>
          </a:p>
        </c:txPr>
        <c:crossAx val="42418174"/>
        <c:crosses val="autoZero"/>
        <c:crossBetween val="between"/>
      </c:valAx>
      <c:spPr>
        <a:noFill/>
        <a:ln w="0">
          <a:noFill/>
        </a:ln>
      </c:spPr>
    </c:plotArea>
    <c:legend>
      <c:legendPos val="b"/>
      <c:overlay val="0"/>
      <c:spPr>
        <a:noFill/>
        <a:ln w="0">
          <a:noFill/>
        </a:ln>
      </c:spPr>
      <c:txPr>
        <a:bodyPr/>
        <a:lstStyle/>
        <a:p>
          <a:pPr>
            <a:defRPr b="0" sz="900" spc="-1" strike="noStrike">
              <a:solidFill>
                <a:srgbClr val="30343a"/>
              </a:solidFill>
              <a:latin typeface="Noto Sans CJK SC"/>
            </a:defRPr>
          </a:pPr>
        </a:p>
      </c:txPr>
    </c:legend>
    <c:plotVisOnly val="1"/>
    <c:dispBlanksAs val="gap"/>
  </c:chart>
  <c:spPr>
    <a:noFill/>
    <a:ln w="9000">
      <a:noFill/>
    </a:ln>
  </c:spPr>
  <c:externalData r:id="rId1"/>
</c:chartSpace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LibreOffice/24.2.7.2$Linux_X86_64 LibreOffice_project/420$Build-2</Application>
  <AppVersion>15.0000</AppVersion>
  <Pages>2</Pages>
  <Words>585</Words>
  <Characters>610</Characters>
  <CharactersWithSpaces>749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dc:language>zh-CN</dc:language>
  <cp:lastModifiedBy/>
  <dcterms:modified xsi:type="dcterms:W3CDTF">2026-10-23T11:50:02Z</dcterms:modified>
  <cp:revision>3</cp:revision>
  <dc:subject>可编辑的多样性与生态功能结构报告模板</dc:subject>
  <dc:title>04 菌群多样性与生态功能结构正文模板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