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napToGrid w:val="false"/>
        <w:rPr>
          <w:rFonts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  <w:snapToGrid w:val="0"/>
      </w:pPr>
      <w:r>
        <w:rPr>
          <w:rFonts w:asciiTheme="majorHAnsi" w:cstheme="majorBidi" w:eastAsiaTheme="majorEastAsia" w:hAnsiTheme="majorHAnsi"/>
          <w:b/>
          <w:bCs/>
          <w:color w:val="3465A4"/>
          <w:shd w:fill="auto" w:val="clear"/>
        </w:rPr>
        <w:t>05 重点健康相关菌与条件致病菌</w:t>
      </w:r>
    </w:p>
    <w:p>
      <w:pPr>
        <w:keepNext w:val="0"/>
        <w:spacing w:after="60" w:before="0"/>
        <w:snapToGrid w:val="0"/>
      </w:pPr>
      <w:r>
        <w:rPr>
          <w:b w:val="0"/>
        </w:rPr>
        <w:t>本章展示重点微生物的检出结果、丰度及关联背景，并结合证据解读。</w:t>
      </w:r>
    </w:p>
    <w:p>
      <w:pPr>
        <w:keepNext w:val="0"/>
        <w:spacing w:after="100" w:before="0"/>
        <w:snapToGrid w:val="0"/>
      </w:pPr>
      <w:r>
        <w:rPr>
          <w:b w:val="0"/>
          <w:sz w:val="18"/>
        </w:rPr>
        <w:t>图形仅作占位示意；实际数据、参考标准与功能背景均待填写。</w:t>
      </w:r>
    </w:p>
    <w:p>
      <w:pPr>
        <w:pStyle w:val="Heading1"/>
        <w:snapToGrid w:val="false"/>
        <w:rPr>
          <w:rFonts w:asciiTheme="majorHAnsi" w:cstheme="majorBidi" w:eastAsiaTheme="majorEastAsia" w:hAnsiTheme="majorHAnsi"/>
          <w:color w:val="EA7500"/>
          <w:highlight w:val="none"/>
          <w:shd w:fill="auto" w:val="clear"/>
        </w:rPr>
        <w:snapToGrid w:val="0"/>
      </w:pPr>
      <w:r>
        <w:rPr>
          <w:rFonts w:asciiTheme="majorHAnsi" w:cstheme="majorBidi" w:eastAsiaTheme="majorEastAsia" w:hAnsiTheme="majorHAnsi"/>
          <w:color w:val="EA7500"/>
          <w:shd w:fill="auto" w:val="clear"/>
        </w:rPr>
        <w:t>5.1 重点健康相关菌</w:t>
      </w:r>
    </w:p>
    <w:p>
      <w:pPr>
        <w:keepNext/>
        <w:spacing w:after="60" w:before="100"/>
        <w:snapToGrid w:val="0"/>
      </w:pPr>
      <w:r>
        <w:rPr>
          <w:b/>
          <w:sz w:val="20"/>
        </w:rPr>
        <w:t>图 5-1  重点菌群的相对丰度比较</w:t>
      </w:r>
    </w:p>
    <w:p>
      <w:pPr>
        <w:keepNext w:val="0"/>
        <w:spacing w:after="100" w:before="0" w:line="240" w:lineRule="auto"/>
        <w:jc w:val="center"/>
        <w:snapToGrid w:val="0"/>
      </w:pPr>
      <w:r>
        <w:rPr>
          <w:b w:val="0"/>
        </w:rPr>
      </w:r>
      <w:r>
        <w:drawing>
          <wp:inline xmlns:a="http://schemas.openxmlformats.org/drawingml/2006/main" xmlns:c="http://schemas.openxmlformats.org/drawingml/2006/chart" distT="0" distB="0" distL="0" distR="0">
            <wp:extent cx="6400800" cy="1508760"/>
            <wp:effectExtent l="0" t="0" r="0" b="0"/>
            <wp:docPr id="101" name="Chart 1" descr="重点健康相关菌丰度比较占位图"/>
            <wp:cNvGraphicFramePr>
              <a:graphicFrameLocks noChangeAspect="1"/>
            </wp:cNvGraphicFramePr>
            <a:graphic>
              <a:graphicData uri="http://schemas.openxmlformats.org/drawingml/2006/chart">
                <c:chart r:id="rId2"/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800"/>
        <w:gridCol w:w="2304"/>
        <w:gridCol w:w="1296"/>
        <w:gridCol w:w="1296"/>
        <w:gridCol w:w="1382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菌群范围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具体物种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功能背景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检出状态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相对丰度</w:t>
            </w:r>
          </w:p>
        </w:tc>
        <w:tc>
          <w:tcPr>
            <w:tcW w:type="dxa" w:w="13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人群分位数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双歧杆菌相关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【物种名】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【功能背景】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【待填】%</w:t>
            </w:r>
          </w:p>
        </w:tc>
        <w:tc>
          <w:tcPr>
            <w:tcW w:type="dxa" w:w="13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乳杆菌相关属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【物种名】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【功能背景】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【待填】%</w:t>
            </w:r>
          </w:p>
        </w:tc>
        <w:tc>
          <w:tcPr>
            <w:tcW w:type="dxa" w:w="13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粪杆菌相关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【物种名】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【功能背景】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【待填】%</w:t>
            </w:r>
          </w:p>
        </w:tc>
        <w:tc>
          <w:tcPr>
            <w:tcW w:type="dxa" w:w="13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阿克曼菌相关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【物种名】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【功能背景】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【待填】%</w:t>
            </w:r>
          </w:p>
        </w:tc>
        <w:tc>
          <w:tcPr>
            <w:tcW w:type="dxa" w:w="13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</w:tr>
    </w:tbl>
    <w:p>
      <w:pPr>
        <w:keepNext w:val="0"/>
        <w:spacing w:after="40" w:before="0"/>
        <w:snapToGrid w:val="0"/>
      </w:pPr>
      <w:r>
        <w:rPr>
          <w:b w:val="0"/>
          <w:sz w:val="4"/>
        </w:rPr>
      </w:r>
    </w:p>
    <w:p>
      <w:pPr>
        <w:keepNext w:val="0"/>
        <w:spacing w:after="100" w:before="0"/>
        <w:snapToGrid w:val="0"/>
      </w:pPr>
      <w:r>
        <w:rPr>
          <w:b w:val="0"/>
          <w:sz w:val="18"/>
        </w:rPr>
        <w:t>展示层级与统计口径【待填】    功能背景文献【待填】</w:t>
      </w:r>
    </w:p>
    <w:p>
      <w:pPr>
        <w:pStyle w:val="Heading1"/>
        <w:snapToGrid w:val="false"/>
        <w:rPr>
          <w:rFonts w:asciiTheme="majorHAnsi" w:cstheme="majorBidi" w:eastAsiaTheme="majorEastAsia" w:hAnsiTheme="majorHAnsi"/>
          <w:color w:val="EA7500"/>
          <w:highlight w:val="none"/>
          <w:shd w:fill="auto" w:val="clear"/>
        </w:rPr>
        <w:snapToGrid w:val="0"/>
      </w:pPr>
      <w:r>
        <w:rPr>
          <w:rFonts w:asciiTheme="majorHAnsi" w:cstheme="majorBidi" w:eastAsiaTheme="majorEastAsia" w:hAnsiTheme="majorHAnsi"/>
          <w:color w:val="EA7500"/>
          <w:shd w:fill="auto" w:val="clear"/>
        </w:rPr>
        <w:t>5.2 条件致病菌与其他重点关注微生物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584"/>
        <w:gridCol w:w="1296"/>
        <w:gridCol w:w="1296"/>
        <w:gridCol w:w="1440"/>
        <w:gridCol w:w="2462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关注类别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微生物名称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检出状态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相对丰度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人群分位数</w:t>
            </w:r>
          </w:p>
        </w:tc>
        <w:tc>
          <w:tcPr>
            <w:tcW w:type="dxa" w:w="2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关注说明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条件致病菌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【名称】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2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【关联或检出背景】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食源性致病菌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【名称】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2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【关联或检出背景】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其他关注微生物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【名称】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【待填】%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24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【关联或检出背景】</w:t>
            </w:r>
          </w:p>
        </w:tc>
      </w:tr>
    </w:tbl>
    <w:p>
      <w:pPr>
        <w:keepNext w:val="0"/>
        <w:spacing w:after="40" w:before="0"/>
        <w:snapToGrid w:val="0"/>
      </w:pPr>
      <w:r>
        <w:rPr>
          <w:b w:val="0"/>
          <w:sz w:val="4"/>
        </w:rPr>
      </w:r>
    </w:p>
    <w:p>
      <w:pPr>
        <w:keepNext w:val="0"/>
        <w:spacing w:after="100" w:before="0"/>
        <w:snapToGrid w:val="0"/>
      </w:pPr>
      <w:r>
        <w:rPr>
          <w:b w:val="0"/>
          <w:sz w:val="18"/>
        </w:rPr>
        <w:t>检出状态  检出 / 本次未检出 / 覆盖不足无法判断。</w:t>
      </w:r>
    </w:p>
    <w:p>
      <w:pPr>
        <w:keepNext w:val="0"/>
        <w:spacing w:after="0" w:before="0"/>
        <w:snapToGrid w:val="0"/>
      </w:pPr>
      <w:r>
        <w:rPr>
          <w:b w:val="0"/>
        </w:rPr>
        <w:t>结果解读  【概括重点菌群特点及需要关注的检出结果】</w:t>
      </w:r>
    </w:p>
    <w:p>
      <w:pPr>
        <w:pStyle w:val="Heading1"/>
        <w:pageBreakBefore/>
        <w:snapToGrid w:val="false"/>
        <w:rPr>
          <w:rFonts w:asciiTheme="majorHAnsi" w:cstheme="majorBidi" w:eastAsiaTheme="majorEastAsia" w:hAnsiTheme="majorHAnsi"/>
          <w:color w:val="EA7500"/>
          <w:highlight w:val="none"/>
          <w:shd w:fill="auto" w:val="clear"/>
        </w:rPr>
        <w:snapToGrid w:val="0"/>
      </w:pPr>
      <w:r>
        <w:rPr>
          <w:rFonts w:asciiTheme="majorHAnsi" w:cstheme="majorBidi" w:eastAsiaTheme="majorEastAsia" w:hAnsiTheme="majorHAnsi"/>
          <w:color w:val="EA7500"/>
          <w:shd w:fill="auto" w:val="clear"/>
        </w:rPr>
        <w:t>5.3 检出状态与证据支持</w:t>
      </w:r>
    </w:p>
    <w:p>
      <w:pPr>
        <w:keepNext/>
        <w:spacing w:after="60" w:before="100"/>
        <w:snapToGrid w:val="0"/>
      </w:pPr>
      <w:r>
        <w:rPr>
          <w:b/>
          <w:sz w:val="20"/>
        </w:rPr>
        <w:t>图 5-2  重点结果的序列支持读段概览</w:t>
      </w:r>
    </w:p>
    <w:p>
      <w:pPr>
        <w:keepNext w:val="0"/>
        <w:spacing w:after="100" w:before="0" w:line="240" w:lineRule="auto"/>
        <w:jc w:val="center"/>
        <w:snapToGrid w:val="0"/>
      </w:pPr>
      <w:r>
        <w:rPr>
          <w:b w:val="0"/>
        </w:rPr>
      </w:r>
      <w:r>
        <w:drawing>
          <wp:inline xmlns:a="http://schemas.openxmlformats.org/drawingml/2006/main" xmlns:c="http://schemas.openxmlformats.org/drawingml/2006/chart" distT="0" distB="0" distL="0" distR="0">
            <wp:extent cx="6400800" cy="1417320"/>
            <wp:effectExtent l="0" t="0" r="0" b="0"/>
            <wp:docPr id="102" name="Chart 2" descr="重点微生物序列支持读段占位图"/>
            <wp:cNvGraphicFramePr>
              <a:graphicFrameLocks noChangeAspect="1"/>
            </wp:cNvGraphicFramePr>
            <a:graphic>
              <a:graphicData uri="http://schemas.openxmlformats.org/drawingml/2006/chart">
                <c:chart r:id="rId3"/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118"/>
        <w:gridCol w:w="1728"/>
        <w:gridCol w:w="201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重点结果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序列支持摘要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检出可信度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关联证据等级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【微生物A】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【读段 / 覆盖 / 相似性】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【微生物B】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【读段 / 覆盖 / 相似性】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【微生物C】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【读段 / 覆盖 / 相似性】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【微生物D】</w:t>
            </w:r>
          </w:p>
        </w:tc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【读段 / 覆盖 / 相似性】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【待填】</w:t>
            </w:r>
          </w:p>
        </w:tc>
      </w:tr>
    </w:tbl>
    <w:p>
      <w:pPr>
        <w:keepNext w:val="0"/>
        <w:spacing w:after="40" w:before="0"/>
        <w:snapToGrid w:val="0"/>
      </w:pPr>
      <w:r>
        <w:rPr>
          <w:b w:val="0"/>
          <w:sz w:val="4"/>
        </w:rPr>
      </w:r>
    </w:p>
    <w:p>
      <w:pPr>
        <w:keepNext w:val="0"/>
        <w:spacing w:after="60" w:before="0"/>
        <w:snapToGrid w:val="0"/>
      </w:pPr>
      <w:r>
        <w:rPr>
          <w:b w:val="0"/>
          <w:sz w:val="18"/>
        </w:rPr>
        <w:t>序列支持口径【待填】    判定规则与证据分级版本【待填】</w:t>
      </w:r>
    </w:p>
    <w:p>
      <w:pPr>
        <w:keepNext w:val="0"/>
        <w:spacing w:after="120" w:before="0"/>
        <w:snapToGrid w:val="0"/>
      </w:pPr>
      <w:r>
        <w:rPr>
          <w:b w:val="0"/>
          <w:sz w:val="18"/>
        </w:rPr>
        <w:t>检出可信度与健康关联证据分别填写；完整序列信息见附录【表号】。</w:t>
      </w:r>
    </w:p>
    <w:p>
      <w:pPr>
        <w:pStyle w:val="Heading1"/>
        <w:snapToGrid w:val="false"/>
        <w:rPr>
          <w:rFonts w:asciiTheme="majorHAnsi" w:cstheme="majorBidi" w:eastAsiaTheme="majorEastAsia" w:hAnsiTheme="majorHAnsi"/>
          <w:color w:val="EA7500"/>
          <w:highlight w:val="none"/>
          <w:shd w:fill="auto" w:val="clear"/>
        </w:rPr>
        <w:snapToGrid w:val="0"/>
      </w:pPr>
      <w:r>
        <w:rPr>
          <w:rFonts w:asciiTheme="majorHAnsi" w:cstheme="majorBidi" w:eastAsiaTheme="majorEastAsia" w:hAnsiTheme="majorHAnsi"/>
          <w:color w:val="EA7500"/>
          <w:shd w:fill="auto" w:val="clear"/>
        </w:rPr>
        <w:t>5.4 结果解释与适用范围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694"/>
        <w:gridCol w:w="3744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left"/>
            </w:pPr>
            <w:r>
              <w:rPr>
                <w:b/>
                <w:sz w:val="20"/>
              </w:rPr>
              <w:t>解读层次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本次可支持的结论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E2EDF0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补充依据或信息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物种层面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【检出、丰度特征及关联方向】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【文献及适用人群】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菌株层面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【毒力或谱系等特征；未评估时注明】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6F8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【宿主归属及序列连接证据】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left"/>
            </w:pPr>
            <w:r>
              <w:rPr>
                <w:b w:val="0"/>
                <w:sz w:val="20"/>
              </w:rPr>
              <w:t>感染层面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【综合判断；信息不足时注明无法判断】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105" w:type="dxa"/>
              <w:right w:w="105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【症状、临床检查及复核信息】</w:t>
            </w:r>
          </w:p>
        </w:tc>
      </w:tr>
    </w:tbl>
    <w:p>
      <w:pPr>
        <w:keepNext w:val="0"/>
        <w:spacing w:after="40" w:before="0"/>
        <w:snapToGrid w:val="0"/>
      </w:pPr>
      <w:r>
        <w:rPr>
          <w:b w:val="0"/>
          <w:sz w:val="4"/>
        </w:rPr>
      </w:r>
    </w:p>
    <w:p>
      <w:pPr>
        <w:keepNext w:val="0"/>
        <w:spacing w:after="100" w:before="0"/>
        <w:snapToGrid w:val="0"/>
      </w:pPr>
      <w:r>
        <w:rPr>
          <w:b w:val="0"/>
        </w:rPr>
        <w:t>综合解读  【用一至两句话说明结果含义及仍需补充的证据】</w:t>
      </w:r>
    </w:p>
    <w:p>
      <w:pPr>
        <w:keepNext w:val="0"/>
        <w:spacing w:after="0" w:before="0"/>
        <w:snapToGrid w:val="0"/>
      </w:pPr>
      <w:r>
        <w:rPr>
          <w:b w:val="0"/>
          <w:sz w:val="18"/>
        </w:rPr>
        <w:t>物种检出不直接等于感染；健康相关性结合具体物种、菌株与情境解读，不统一标记为有益或有害。</w:t>
      </w:r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037" w:right="1037" w:gutter="0" w:header="0" w:top="907" w:footer="36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 xml:space="preserve">05 重点健康相关菌与条件致病菌  |  </w:t>
    </w:r>
    <w:fldSimple w:instr="PAGE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 xml:space="preserve">03 </w:t>
    </w:r>
    <w:r>
      <w:rPr>
        <w:color w:val="6B7280"/>
        <w:sz w:val="16"/>
      </w:rPr>
      <w:t xml:space="preserve">菌群组成与群落结构  </w:t>
    </w:r>
    <w:r>
      <w:rPr>
        <w:color w:val="6B7280"/>
        <w:sz w:val="16"/>
      </w:rPr>
      <w:t xml:space="preserve">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Noto Sans CJK SC" w:hAnsi="Noto Sans CJK SC" w:eastAsia="Noto Sans CJK SC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Relationship Id="rId2" Type="http://schemas.openxmlformats.org/officeDocument/2006/relationships/chart" Target="charts/chart1.xml"/><Relationship Id="rId3" Type="http://schemas.openxmlformats.org/officeDocument/2006/relationships/chart" Target="charts/chart2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Data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Data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本次样本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cat>
            <c:strRef>
              <c:f>Data!$A$2:$A$5</c:f>
              <c:strCache>
                <c:ptCount val="4"/>
                <c:pt idx="0">
                  <c:v>双歧杆菌相关</c:v>
                </c:pt>
                <c:pt idx="1">
                  <c:v>乳杆菌相关属</c:v>
                </c:pt>
                <c:pt idx="2">
                  <c:v>粪杆菌相关</c:v>
                </c:pt>
                <c:pt idx="3">
                  <c:v>阿克曼菌相关</c:v>
                </c:pt>
              </c:strCache>
            </c:strRef>
          </c:cat>
          <c:val>
            <c:numRef>
              <c:f>Data!$B$2:$B$5</c:f>
              <c:numCache>
                <c:formatCode>0.0</c:formatCode>
                <c:ptCount val="4"/>
                <c:pt idx="0">
                  <c:v>10</c:v>
                </c:pt>
                <c:pt idx="1">
                  <c:v>8</c:v>
                </c:pt>
                <c:pt idx="2">
                  <c:v>6</c:v>
                </c:pt>
                <c:pt idx="3">
                  <c:v>4</c:v>
                </c:pt>
              </c:numCache>
            </c:numRef>
          </c:val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参考人群中位数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invertIfNegative val="0"/>
          <c:cat>
            <c:strRef>
              <c:f>Data!$A$2:$A$5</c:f>
              <c:strCache>
                <c:ptCount val="4"/>
                <c:pt idx="0">
                  <c:v>双歧杆菌相关</c:v>
                </c:pt>
                <c:pt idx="1">
                  <c:v>乳杆菌相关属</c:v>
                </c:pt>
                <c:pt idx="2">
                  <c:v>粪杆菌相关</c:v>
                </c:pt>
                <c:pt idx="3">
                  <c:v>阿克曼菌相关</c:v>
                </c:pt>
              </c:strCache>
            </c:strRef>
          </c:cat>
          <c:val>
            <c:numRef>
              <c:f>Data!$C$2:$C$5</c:f>
              <c:numCache>
                <c:formatCode>0.0</c:formatCode>
                <c:ptCount val="4"/>
                <c:pt idx="0">
                  <c:v>9</c:v>
                </c:pt>
                <c:pt idx="1">
                  <c:v>11</c:v>
                </c:pt>
                <c:pt idx="2">
                  <c:v>5</c:v>
                </c:pt>
                <c:pt idx="3">
                  <c:v>3</c:v>
                </c:pt>
              </c:numCache>
            </c:numRef>
          </c:val>
        </c:ser>
        <c:gapWidth val="75"/>
        <c:overlap val="0"/>
        <c:axId val="123456"/>
        <c:axId val="123457"/>
      </c:barChart>
      <c:catAx>
        <c:axId val="123456"/>
        <c:scaling>
          <c:orientation val="maxMin"/>
        </c:scaling>
        <c:delete val="0"/>
        <c:axPos val="l"/>
        <c:majorTickMark val="none"/>
        <c:minorTickMark val="none"/>
        <c:tickLblPos val="nextTo"/>
        <c:spPr>
          <a:noFill/>
          <a:ln w="9000">
            <a:noFill/>
          </a:ln>
        </c:spPr>
        <c:txPr>
          <a:bodyPr/>
          <a:lstStyle/>
          <a:p>
            <a:pPr>
              <a:defRPr sz="950" b="0">
                <a:solidFill>
                  <a:srgbClr val="30343A"/>
                </a:solidFill>
                <a:latin typeface="Noto Sans CJK SC"/>
                <a:ea typeface="Noto Sans CJK SC"/>
              </a:defRPr>
            </a:pPr>
            <a:endParaRPr lang="zh-CN"/>
          </a:p>
        </c:txPr>
        <c:crossAx val="123457"/>
        <c:crosses val="autoZero"/>
        <c:auto val="1"/>
        <c:lblAlgn val="ctr"/>
        <c:lblOffset val="90"/>
        <c:noMultiLvlLbl val="1"/>
      </c:catAx>
      <c:valAx>
        <c:axId val="123457"/>
        <c:scaling>
          <c:orientation val="minMax"/>
        </c:scaling>
        <c:delete val="0"/>
        <c:axPos val="b"/>
        <c:numFmt formatCode="0" sourceLinked="0"/>
        <c:majorTickMark val="none"/>
        <c:minorTickMark val="none"/>
        <c:tickLblPos val="none"/>
        <c:spPr>
          <a:noFill/>
          <a:ln w="9000">
            <a:noFill/>
          </a:ln>
        </c:spPr>
        <c:txPr>
          <a:bodyPr/>
          <a:lstStyle/>
          <a:p>
            <a:pPr>
              <a:defRPr sz="950" b="0">
                <a:solidFill>
                  <a:srgbClr val="30343A"/>
                </a:solidFill>
                <a:latin typeface="Noto Sans CJK SC"/>
                <a:ea typeface="Noto Sans CJK SC"/>
              </a:defRPr>
            </a:pPr>
            <a:endParaRPr lang="zh-CN"/>
          </a:p>
        </c:txPr>
        <c:crossAx val="123456"/>
        <c:crosses val="autoZero"/>
        <c:crossBetween val="between"/>
      </c:valAx>
    </c:plotArea>
    <c:legend>
      <c:legendPos val="b"/>
      <c:layout/>
      <c:overlay val="0"/>
      <c:txPr>
        <a:bodyPr/>
        <a:lstStyle/>
        <a:p>
          <a:pPr>
            <a:defRPr sz="900" b="0">
              <a:solidFill>
                <a:srgbClr val="30343A"/>
              </a:solidFill>
              <a:latin typeface="Noto Sans CJK SC"/>
              <a:ea typeface="Noto Sans CJK SC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9000">
      <a:noFill/>
    </a:ln>
  </c:spPr>
  <c:txPr>
    <a:bodyPr/>
    <a:lstStyle/>
    <a:p>
      <a:pPr>
        <a:defRPr sz="950" b="0">
          <a:solidFill>
            <a:srgbClr val="30343A"/>
          </a:solidFill>
          <a:latin typeface="Noto Sans CJK SC"/>
          <a:ea typeface="Noto Sans CJK SC"/>
        </a:defRPr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序列支持读段</c:v>
                </c:pt>
              </c:strCache>
            </c:strRef>
          </c:tx>
          <c:spPr>
            <a:solidFill>
              <a:srgbClr val="4A86A4"/>
            </a:solidFill>
            <a:ln w="9000">
              <a:noFill/>
            </a:ln>
          </c:spPr>
          <c:invertIfNegative val="0"/>
          <c:cat>
            <c:strRef>
              <c:f>Data!$A$2:$A$5</c:f>
              <c:strCache>
                <c:ptCount val="4"/>
                <c:pt idx="0">
                  <c:v>【微生物A】</c:v>
                </c:pt>
                <c:pt idx="1">
                  <c:v>【微生物B】</c:v>
                </c:pt>
                <c:pt idx="2">
                  <c:v>【微生物C】</c:v>
                </c:pt>
                <c:pt idx="3">
                  <c:v>【微生物D】</c:v>
                </c:pt>
              </c:strCache>
            </c:strRef>
          </c:cat>
          <c:val>
            <c:numRef>
              <c:f>Data!$B$2:$B$5</c:f>
              <c:numCache>
                <c:formatCode>0.0</c:formatCode>
                <c:ptCount val="4"/>
                <c:pt idx="0">
                  <c:v>180</c:v>
                </c:pt>
                <c:pt idx="1">
                  <c:v>140</c:v>
                </c:pt>
                <c:pt idx="2">
                  <c:v>95</c:v>
                </c:pt>
                <c:pt idx="3">
                  <c:v>60</c:v>
                </c:pt>
              </c:numCache>
            </c:numRef>
          </c:val>
        </c:ser>
        <c:gapWidth val="75"/>
        <c:overlap val="0"/>
        <c:axId val="123456"/>
        <c:axId val="123457"/>
      </c:barChart>
      <c:catAx>
        <c:axId val="123456"/>
        <c:scaling>
          <c:orientation val="maxMin"/>
        </c:scaling>
        <c:delete val="0"/>
        <c:axPos val="l"/>
        <c:majorTickMark val="none"/>
        <c:minorTickMark val="none"/>
        <c:tickLblPos val="nextTo"/>
        <c:spPr>
          <a:noFill/>
          <a:ln w="9000">
            <a:noFill/>
          </a:ln>
        </c:spPr>
        <c:txPr>
          <a:bodyPr/>
          <a:lstStyle/>
          <a:p>
            <a:pPr>
              <a:defRPr sz="950" b="0">
                <a:solidFill>
                  <a:srgbClr val="30343A"/>
                </a:solidFill>
                <a:latin typeface="Noto Sans CJK SC"/>
                <a:ea typeface="Noto Sans CJK SC"/>
              </a:defRPr>
            </a:pPr>
            <a:endParaRPr lang="zh-CN"/>
          </a:p>
        </c:txPr>
        <c:crossAx val="123457"/>
        <c:crosses val="autoZero"/>
        <c:auto val="1"/>
        <c:lblAlgn val="ctr"/>
        <c:lblOffset val="90"/>
        <c:noMultiLvlLbl val="1"/>
      </c:catAx>
      <c:valAx>
        <c:axId val="123457"/>
        <c:scaling>
          <c:orientation val="minMax"/>
        </c:scaling>
        <c:delete val="0"/>
        <c:axPos val="b"/>
        <c:numFmt formatCode="0" sourceLinked="0"/>
        <c:majorTickMark val="none"/>
        <c:minorTickMark val="none"/>
        <c:tickLblPos val="none"/>
        <c:spPr>
          <a:noFill/>
          <a:ln w="9000">
            <a:noFill/>
          </a:ln>
        </c:spPr>
        <c:txPr>
          <a:bodyPr/>
          <a:lstStyle/>
          <a:p>
            <a:pPr>
              <a:defRPr sz="950" b="0">
                <a:solidFill>
                  <a:srgbClr val="30343A"/>
                </a:solidFill>
                <a:latin typeface="Noto Sans CJK SC"/>
                <a:ea typeface="Noto Sans CJK SC"/>
              </a:defRPr>
            </a:pPr>
            <a:endParaRPr lang="zh-CN"/>
          </a:p>
        </c:txPr>
        <c:crossAx val="123456"/>
        <c:crosses val="autoZero"/>
        <c:crossBetween val="between"/>
      </c:valAx>
    </c:plotArea>
    <c:plotVisOnly val="1"/>
    <c:dispBlanksAs val="gap"/>
    <c:showDLblsOverMax val="0"/>
  </c:chart>
  <c:spPr>
    <a:noFill/>
    <a:ln w="9000">
      <a:noFill/>
    </a:ln>
  </c:spPr>
  <c:txPr>
    <a:bodyPr/>
    <a:lstStyle/>
    <a:p>
      <a:pPr>
        <a:defRPr sz="950" b="0">
          <a:solidFill>
            <a:srgbClr val="30343A"/>
          </a:solidFill>
          <a:latin typeface="Noto Sans CJK SC"/>
          <a:ea typeface="Noto Sans CJK SC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4</Pages>
  <Words>1051</Words>
  <Characters>1063</Characters>
  <CharactersWithSpaces>1133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zh-CN</dc:language>
  <cp:lastModifiedBy/>
  <dcterms:modified xsi:type="dcterms:W3CDTF">2026-10-23T11:14:26Z</dcterms:modified>
  <cp:revision>2</cp:revision>
  <dc:subject>可编辑的重点菌群检出与证据说明模板</dc:subject>
  <dc:title>05 重点健康相关菌与条件致病菌正文模板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