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_rels/chart9.xml.rels" ContentType="application/vnd.openxmlformats-package.relationships+xml"/>
  <Override PartName="/word/charts/_rels/chart8.xml.rels" ContentType="application/vnd.openxmlformats-package.relationships+xml"/>
  <Override PartName="/word/charts/_rels/chart7.xml.rels" ContentType="application/vnd.openxmlformats-package.relationships+xml"/>
  <Override PartName="/word/charts/_rels/chart6.xml.rels" ContentType="application/vnd.openxmlformats-package.relationships+xml"/>
  <Override PartName="/word/charts/_rels/chart5.xml.rels" ContentType="application/vnd.openxmlformats-package.relationships+xml"/>
  <Override PartName="/word/charts/_rels/chart4.xml.rels" ContentType="application/vnd.openxmlformats-package.relationships+xml"/>
  <Override PartName="/word/charts/_rels/chart3.xml.rels" ContentType="application/vnd.openxmlformats-package.relationships+xml"/>
  <Override PartName="/word/charts/_rels/chart2.xml.rels" ContentType="application/vnd.openxmlformats-package.relationships+xml"/>
  <Override PartName="/word/charts/_rels/chart1.xml.rels" ContentType="application/vnd.openxmlformats-package.relationship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embeddings/ChartData1.xlsx" ContentType="application/vnd.openxmlformats-officedocument.spreadsheetml.sheet"/>
  <Override PartName="/word/embeddings/ChartData2.xlsx" ContentType="application/vnd.openxmlformats-officedocument.spreadsheetml.sheet"/>
  <Override PartName="/word/embeddings/ChartData3.xlsx" ContentType="application/vnd.openxmlformats-officedocument.spreadsheetml.sheet"/>
  <Override PartName="/word/embeddings/ChartData4.xlsx" ContentType="application/vnd.openxmlformats-officedocument.spreadsheetml.sheet"/>
  <Override PartName="/word/embeddings/ChartData5.xlsx" ContentType="application/vnd.openxmlformats-officedocument.spreadsheetml.sheet"/>
  <Override PartName="/word/embeddings/ChartData6.xlsx" ContentType="application/vnd.openxmlformats-officedocument.spreadsheetml.sheet"/>
  <Override PartName="/word/embeddings/ChartData7.xlsx" ContentType="application/vnd.openxmlformats-officedocument.spreadsheetml.sheet"/>
  <Override PartName="/word/embeddings/ChartData8.xlsx" ContentType="application/vnd.openxmlformats-officedocument.spreadsheetml.sheet"/>
  <Override PartName="/word/embeddings/ChartData9.xlsx" ContentType="application/vnd.openxmlformats-officedocument.spreadsheetml.sheet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napToGrid w:val="false"/>
        <w:rPr>
          <w:rFonts w:ascii="Calibri" w:hAnsi="Calibri" w:eastAsia="" w:cs="" w:asciiTheme="majorHAnsi" w:cstheme="majorBidi" w:eastAsiaTheme="majorEastAsia" w:hAnsiTheme="majorHAnsi"/>
          <w:b/>
          <w:bCs/>
          <w:color w:val="3465A4"/>
          <w:highlight w:val="none"/>
          <w:shd w:fill="auto" w:val="clear"/>
        </w:rPr>
      </w:pPr>
      <w:r>
        <w:rPr>
          <w:rFonts w:ascii="Calibri" w:hAnsi="Calibri" w:cs="" w:asciiTheme="majorHAnsi" w:cstheme="majorBidi" w:eastAsiaTheme="majorEastAsia" w:hAnsiTheme="majorHAnsi"/>
          <w:b/>
          <w:bCs/>
          <w:color w:val="3465A4"/>
          <w:shd w:fill="auto" w:val="clear"/>
        </w:rPr>
        <w:t>肠道菌群宏基因组分析报告</w:t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正文模板 第</w:t>
      </w:r>
      <w:r>
        <w:rPr>
          <w:rFonts w:eastAsia="" w:cs="" w:cstheme="majorBidi" w:eastAsiaTheme="majorEastAsia"/>
          <w:color w:val="EA7500"/>
          <w:shd w:fill="auto" w:val="clear"/>
        </w:rPr>
        <w:t>06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至</w:t>
      </w:r>
      <w:r>
        <w:rPr>
          <w:rFonts w:eastAsia="" w:cs="" w:cstheme="majorBidi" w:eastAsiaTheme="majorEastAsia"/>
          <w:color w:val="EA7500"/>
          <w:shd w:fill="auto" w:val="clear"/>
        </w:rPr>
        <w:t>16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章</w:t>
      </w:r>
    </w:p>
    <w:p>
      <w:pPr>
        <w:pStyle w:val="Normal"/>
        <w:keepNext w:val="false"/>
        <w:snapToGrid w:val="false"/>
        <w:spacing w:before="0" w:after="160"/>
        <w:rPr/>
      </w:pPr>
      <w:r>
        <w:rPr>
          <w:b w:val="false"/>
        </w:rPr>
        <w:t>承接第</w:t>
      </w:r>
      <w:r>
        <w:rPr>
          <w:b w:val="false"/>
        </w:rPr>
        <w:t>01</w:t>
      </w:r>
      <w:r>
        <w:rPr>
          <w:b w:val="false"/>
        </w:rPr>
        <w:t>至</w:t>
      </w:r>
      <w:r>
        <w:rPr>
          <w:b w:val="false"/>
        </w:rPr>
        <w:t>05</w:t>
      </w:r>
      <w:r>
        <w:rPr>
          <w:b w:val="false"/>
        </w:rPr>
        <w:t>章，按调整后的目录连续编号。正文突出结果概览、功能图示及简短解读，完整序列与方法信息放入附录。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791"/>
        <w:gridCol w:w="4177"/>
        <w:gridCol w:w="5198"/>
      </w:tblGrid>
      <w:tr>
        <w:trPr>
          <w:tblHeader w:val="true"/>
          <w:cantSplit w:val="true"/>
        </w:trPr>
        <w:tc>
          <w:tcPr>
            <w:tcW w:w="7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章节</w:t>
            </w:r>
          </w:p>
        </w:tc>
        <w:tc>
          <w:tcPr>
            <w:tcW w:w="41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正文内容</w:t>
            </w:r>
          </w:p>
        </w:tc>
        <w:tc>
          <w:tcPr>
            <w:tcW w:w="5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主要展示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06</w:t>
            </w:r>
          </w:p>
        </w:tc>
        <w:tc>
          <w:tcPr>
            <w:tcW w:w="41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菌株特征与毒力因子</w:t>
            </w:r>
          </w:p>
        </w:tc>
        <w:tc>
          <w:tcPr>
            <w:tcW w:w="5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菌株判断  毒力功能  致病型证据  宿主归属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07</w:t>
            </w:r>
          </w:p>
        </w:tc>
        <w:tc>
          <w:tcPr>
            <w:tcW w:w="41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耐药组与可移动遗传元件</w:t>
            </w:r>
          </w:p>
        </w:tc>
        <w:tc>
          <w:tcPr>
            <w:tcW w:w="5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耐药决定因素  药物类别  遗传背景  解读范围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08</w:t>
            </w:r>
          </w:p>
        </w:tc>
        <w:tc>
          <w:tcPr>
            <w:tcW w:w="41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古菌 真菌与</w:t>
            </w:r>
            <w:r>
              <w:rPr>
                <w:b w:val="false"/>
                <w:sz w:val="20"/>
              </w:rPr>
              <w:t>DNA</w:t>
            </w:r>
            <w:r>
              <w:rPr>
                <w:b w:val="false"/>
                <w:sz w:val="20"/>
              </w:rPr>
              <w:t>病毒组</w:t>
            </w:r>
          </w:p>
        </w:tc>
        <w:tc>
          <w:tcPr>
            <w:tcW w:w="5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产甲烷古菌  真菌  </w:t>
            </w:r>
            <w:r>
              <w:rPr>
                <w:b w:val="false"/>
                <w:sz w:val="20"/>
              </w:rPr>
              <w:t>DNA</w:t>
            </w:r>
            <w:r>
              <w:rPr>
                <w:b w:val="false"/>
                <w:sz w:val="20"/>
              </w:rPr>
              <w:t>病毒  检测范围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09</w:t>
            </w:r>
          </w:p>
        </w:tc>
        <w:tc>
          <w:tcPr>
            <w:tcW w:w="41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膳食底物利用与营养物质代谢</w:t>
            </w:r>
          </w:p>
        </w:tc>
        <w:tc>
          <w:tcPr>
            <w:tcW w:w="5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复杂碳水  糖活性酶  营养物质通路  功能证据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10</w:t>
            </w:r>
          </w:p>
        </w:tc>
        <w:tc>
          <w:tcPr>
            <w:tcW w:w="41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微生物代谢物生成与利用潜力</w:t>
            </w:r>
          </w:p>
        </w:tc>
        <w:tc>
          <w:tcPr>
            <w:tcW w:w="5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短链脂肪酸  中间产物  胆汁酸  色氨酸及其他代谢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11</w:t>
            </w:r>
          </w:p>
        </w:tc>
        <w:tc>
          <w:tcPr>
            <w:tcW w:w="41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肠道微生态与宿主互作相关特征</w:t>
            </w:r>
          </w:p>
        </w:tc>
        <w:tc>
          <w:tcPr>
            <w:tcW w:w="5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定植抗力  炎症免疫关联  黏液利用  屏障线索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12</w:t>
            </w:r>
          </w:p>
        </w:tc>
        <w:tc>
          <w:tcPr>
            <w:tcW w:w="41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肠脑轴与内分泌相关代谢</w:t>
            </w:r>
          </w:p>
        </w:tc>
        <w:tc>
          <w:tcPr>
            <w:tcW w:w="5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神经活性分子  芳香族氨基酸  激素转化  量表对照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13</w:t>
            </w:r>
          </w:p>
        </w:tc>
        <w:tc>
          <w:tcPr>
            <w:tcW w:w="41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症状相关特征与问卷对照</w:t>
            </w:r>
          </w:p>
        </w:tc>
        <w:tc>
          <w:tcPr>
            <w:tcW w:w="5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排便与症状  功能对照  关联方向与证据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14</w:t>
            </w:r>
          </w:p>
        </w:tc>
        <w:tc>
          <w:tcPr>
            <w:tcW w:w="41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疾病相关特征与经验证模型</w:t>
            </w:r>
          </w:p>
        </w:tc>
        <w:tc>
          <w:tcPr>
            <w:tcW w:w="5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关联模块  特征证据  模型适用性  结果解释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15</w:t>
            </w:r>
          </w:p>
        </w:tc>
        <w:tc>
          <w:tcPr>
            <w:tcW w:w="41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专项代谢转化功能</w:t>
            </w:r>
          </w:p>
        </w:tc>
        <w:tc>
          <w:tcPr>
            <w:tcW w:w="5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多酚与异黄酮  药物转化  验证阶段与适用范围</w:t>
            </w:r>
          </w:p>
        </w:tc>
      </w:tr>
      <w:tr>
        <w:trPr>
          <w:cantSplit w:val="true"/>
        </w:trPr>
        <w:tc>
          <w:tcPr>
            <w:tcW w:w="7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16</w:t>
            </w:r>
          </w:p>
        </w:tc>
        <w:tc>
          <w:tcPr>
            <w:tcW w:w="41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综合解读与行动建议</w:t>
            </w:r>
          </w:p>
        </w:tc>
        <w:tc>
          <w:tcPr>
            <w:tcW w:w="5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关键发现  行动目标  信息复核  综合评分与肠龄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Normal"/>
        <w:keepNext w:val="false"/>
        <w:snapToGrid w:val="false"/>
        <w:spacing w:before="0" w:after="60"/>
        <w:rPr/>
      </w:pPr>
      <w:r>
        <w:rPr>
          <w:b/>
        </w:rPr>
        <w:t>填写约定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【待填】为可替换字段。图中条形长度、圆环比例和节点内容仅供排版示意，不代表检测结论。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序列检出、功能潜力、研究性关联与模型输出分别标识。问卷信息单列；未开展或证据不足的项目显示“未启用”或“无法判断”。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参考依据、证据分级规则与分析版本【待填】。图表可直接编辑；使用前替换占位数据及文字。</w:t>
      </w:r>
      <w:r>
        <w:br w:type="page"/>
      </w:r>
    </w:p>
    <w:p>
      <w:pPr>
        <w:pStyle w:val="Title"/>
        <w:snapToGrid w:val="false"/>
        <w:rPr>
          <w:rFonts w:ascii="Calibri" w:hAnsi="Calibri" w:eastAsia="" w:cs="" w:asciiTheme="majorHAnsi" w:cstheme="majorBidi" w:eastAsiaTheme="majorEastAsia" w:hAnsiTheme="majorHAnsi"/>
          <w:b/>
          <w:bCs/>
          <w:color w:val="3465A4"/>
          <w:highlight w:val="none"/>
          <w:shd w:fill="auto" w:val="clear"/>
        </w:rPr>
      </w:pPr>
      <w:r>
        <w:rPr>
          <w:rFonts w:eastAsia="" w:cs="" w:cstheme="majorBidi" w:eastAsiaTheme="majorEastAsia"/>
          <w:b/>
          <w:bCs/>
          <w:color w:val="3465A4"/>
          <w:shd w:fill="auto" w:val="clear"/>
        </w:rPr>
        <w:t xml:space="preserve">06 </w:t>
      </w:r>
      <w:r>
        <w:rPr>
          <w:rFonts w:ascii="Calibri" w:hAnsi="Calibri" w:cs="" w:asciiTheme="majorHAnsi" w:cstheme="majorBidi" w:eastAsiaTheme="majorEastAsia" w:hAnsiTheme="majorHAnsi"/>
          <w:b/>
          <w:bCs/>
          <w:color w:val="3465A4"/>
          <w:shd w:fill="auto" w:val="clear"/>
        </w:rPr>
        <w:t>菌株特征与毒力因子</w:t>
      </w:r>
    </w:p>
    <w:p>
      <w:pPr>
        <w:pStyle w:val="Normal"/>
        <w:keepNext w:val="false"/>
        <w:snapToGrid w:val="false"/>
        <w:spacing w:before="0" w:after="60"/>
        <w:rPr/>
      </w:pPr>
      <w:r>
        <w:rPr>
          <w:b w:val="false"/>
        </w:rPr>
        <w:t>本章说明是否具备菌株判断条件，并展示毒力相关功能与微生物归属证据。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图形仅作占位示意；结果、参考分布及证据等级均待填写。</w:t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6.1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菌株与谱系判断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2160"/>
        <w:gridCol w:w="2591"/>
        <w:gridCol w:w="1585"/>
        <w:gridCol w:w="3829"/>
      </w:tblGrid>
      <w:tr>
        <w:trPr>
          <w:tblHeader w:val="true"/>
          <w:cantSplit w:val="true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重点微生物</w:t>
            </w:r>
          </w:p>
        </w:tc>
        <w:tc>
          <w:tcPr>
            <w:tcW w:w="25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可分析层级</w:t>
            </w:r>
          </w:p>
        </w:tc>
        <w:tc>
          <w:tcPr>
            <w:tcW w:w="15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本次结果</w:t>
            </w:r>
          </w:p>
        </w:tc>
        <w:tc>
          <w:tcPr>
            <w:tcW w:w="38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证据状态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【微生物</w:t>
            </w:r>
            <w:r>
              <w:rPr>
                <w:b w:val="false"/>
                <w:sz w:val="20"/>
              </w:rPr>
              <w:t>A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25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【亚种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 xml:space="preserve">谱系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菌株】</w:t>
            </w:r>
          </w:p>
        </w:tc>
        <w:tc>
          <w:tcPr>
            <w:tcW w:w="15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8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【支持充分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无法判断】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【微生物</w:t>
            </w:r>
            <w:r>
              <w:rPr>
                <w:b w:val="false"/>
                <w:sz w:val="20"/>
              </w:rPr>
              <w:t>B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25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【亚种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 xml:space="preserve">谱系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菌株】</w:t>
            </w:r>
          </w:p>
        </w:tc>
        <w:tc>
          <w:tcPr>
            <w:tcW w:w="15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8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【支持充分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无法判断】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6.2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毒力相关功能概览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1800"/>
        <w:gridCol w:w="2591"/>
        <w:gridCol w:w="2448"/>
        <w:gridCol w:w="3326"/>
      </w:tblGrid>
      <w:tr>
        <w:trPr>
          <w:tblHeader w:val="true"/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功能类别</w:t>
            </w:r>
          </w:p>
        </w:tc>
        <w:tc>
          <w:tcPr>
            <w:tcW w:w="25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关键标记或基因簇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检出与完整性</w:t>
            </w:r>
          </w:p>
        </w:tc>
        <w:tc>
          <w:tcPr>
            <w:tcW w:w="3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证据摘要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毒素相关</w:t>
            </w:r>
          </w:p>
        </w:tc>
        <w:tc>
          <w:tcPr>
            <w:tcW w:w="25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【代表标记】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【覆盖及相似性结论】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黏附相关</w:t>
            </w:r>
          </w:p>
        </w:tc>
        <w:tc>
          <w:tcPr>
            <w:tcW w:w="25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【代表标记】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【覆盖及相似性结论】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侵袭相关</w:t>
            </w:r>
          </w:p>
        </w:tc>
        <w:tc>
          <w:tcPr>
            <w:tcW w:w="25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【代表标记】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【覆盖及相似性结论】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生物膜相关</w:t>
            </w:r>
          </w:p>
        </w:tc>
        <w:tc>
          <w:tcPr>
            <w:tcW w:w="25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【代表标记】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【覆盖及相似性结论】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6.3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致病型与序列连接证据</w:t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图 </w:t>
      </w:r>
      <w:r>
        <w:rPr>
          <w:b/>
          <w:sz w:val="20"/>
        </w:rPr>
        <w:t xml:space="preserve">6-1  </w:t>
      </w:r>
      <w:r>
        <w:rPr>
          <w:b/>
          <w:sz w:val="20"/>
        </w:rPr>
        <w:t>物种与毒力标记的关联示意</w:t>
      </w:r>
    </w:p>
    <w:p>
      <w:pPr>
        <w:pStyle w:val="Normal"/>
        <w:keepNext w:val="false"/>
        <w:snapToGrid w:val="false"/>
        <w:spacing w:lineRule="auto" w:line="240" w:before="0" w:after="100"/>
        <w:jc w:val="center"/>
        <w:rPr/>
      </w:pPr>
      <w:r>
        <w:rPr/>
        <mc:AlternateContent>
          <mc:Choice Requires="wpg">
            <w:drawing>
              <wp:inline distT="0" distB="0" distL="0" distR="0">
                <wp:extent cx="6350000" cy="609600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40" cy="609480"/>
                          <a:chOff x="0" y="0"/>
                          <a:chExt cx="6350040" cy="609480"/>
                        </a:xfrm>
                      </wpg:grpSpPr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0" y="0"/>
                            <a:ext cx="1803240" cy="60948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微生物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【物种或谱系】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854360" y="304920"/>
                            <a:ext cx="368280" cy="0"/>
                          </a:xfrm>
                          <a:prstGeom prst="line">
                            <a:avLst/>
                          </a:prstGeom>
                          <a:ln w="16560">
                            <a:solidFill>
                              <a:srgbClr val="246a73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nvSpPr>
                          <wps:cNvPr id="3" name=""/>
                          <wps:cNvSpPr/>
                        </wps:nvSpPr>
                        <wps:spPr>
                          <a:xfrm>
                            <a:off x="2273400" y="0"/>
                            <a:ext cx="1803240" cy="60948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序列连接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【已支持 / 未确定】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127400" y="304920"/>
                            <a:ext cx="368280" cy="0"/>
                          </a:xfrm>
                          <a:prstGeom prst="line">
                            <a:avLst/>
                          </a:prstGeom>
                          <a:ln w="16560">
                            <a:solidFill>
                              <a:srgbClr val="246a73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nvSpPr>
                          <wps:cNvPr id="4" name=""/>
                          <wps:cNvSpPr/>
                        </wps:nvSpPr>
                        <wps:spPr>
                          <a:xfrm>
                            <a:off x="4546440" y="0"/>
                            <a:ext cx="1803240" cy="60948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毒力特征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【标记或基因簇】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48.05pt;width:500pt;height:48pt" coordorigin="0,-961" coordsize="10000,960">
                <v:rect id="shape_0" fillcolor="#e2edf0" stroked="t" o:allowincell="f" style="position:absolute;left:0;top:-961;width:2839;height:95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微生物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【物种或谱系】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  <v:line id="shape_0" from="2920,-481" to="3499,-481" stroked="t" o:allowincell="f" style="position:absolute;mso-position-vertical:top">
                  <v:stroke color="#246a73" weight="16560" endarrow="block" endarrowwidth="medium" endarrowlength="medium" joinstyle="round" endcap="flat"/>
                  <v:fill o:detectmouseclick="t" on="false"/>
                  <w10:wrap type="none"/>
                </v:line>
                <v:rect id="shape_0" fillcolor="#e2edf0" stroked="t" o:allowincell="f" style="position:absolute;left:3580;top:-961;width:2839;height:95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序列连接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【已支持 / 未确定】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  <v:line id="shape_0" from="6500,-481" to="7079,-481" stroked="t" o:allowincell="f" style="position:absolute;mso-position-vertical:top">
                  <v:stroke color="#246a73" weight="16560" endarrow="block" endarrowwidth="medium" endarrowlength="medium" joinstyle="round" endcap="flat"/>
                  <v:fill o:detectmouseclick="t" on="false"/>
                  <w10:wrap type="none"/>
                </v:line>
                <v:rect id="shape_0" fillcolor="#e2edf0" stroked="t" o:allowincell="f" style="position:absolute;left:7160;top:-961;width:2839;height:95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毒力特征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【标记或基因簇】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 xml:space="preserve">重点致病型【待填】。连接依据【同一组装片段等证据 </w:t>
      </w:r>
      <w:r>
        <w:rPr>
          <w:b w:val="false"/>
          <w:sz w:val="18"/>
        </w:rPr>
        <w:t xml:space="preserve">/ </w:t>
      </w:r>
      <w:r>
        <w:rPr>
          <w:b w:val="false"/>
          <w:sz w:val="18"/>
        </w:rPr>
        <w:t>未获得连接证据】。</w:t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6.4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宿主归属与可解释范围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1871"/>
        <w:gridCol w:w="3457"/>
        <w:gridCol w:w="4838"/>
      </w:tblGrid>
      <w:tr>
        <w:trPr>
          <w:tblHeader w:val="true"/>
          <w:cantSplit w:val="true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重点标记</w:t>
            </w:r>
          </w:p>
        </w:tc>
        <w:tc>
          <w:tcPr>
            <w:tcW w:w="34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微生物宿主归属</w:t>
            </w:r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序列支持摘要</w:t>
            </w:r>
          </w:p>
        </w:tc>
      </w:tr>
      <w:tr>
        <w:trPr>
          <w:cantSplit w:val="true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【标记</w:t>
            </w:r>
            <w:r>
              <w:rPr>
                <w:b w:val="false"/>
                <w:sz w:val="20"/>
              </w:rPr>
              <w:t>A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34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【已归属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宿主未确定】</w:t>
            </w:r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【覆盖、相似性及连接支持】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</w:rPr>
        <w:t>结果解读  【用一至两句话概括主要结果及证据边界】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缺少连接证据时，标记与物种分别报告；基因检出不直接代表表达、产毒或实际感染。</w:t>
      </w:r>
      <w:r>
        <w:br w:type="page"/>
      </w:r>
    </w:p>
    <w:p>
      <w:pPr>
        <w:pStyle w:val="Title"/>
        <w:snapToGrid w:val="false"/>
        <w:rPr>
          <w:rFonts w:ascii="Calibri" w:hAnsi="Calibri" w:eastAsia="" w:cs="" w:asciiTheme="majorHAnsi" w:cstheme="majorBidi" w:eastAsiaTheme="majorEastAsia" w:hAnsiTheme="majorHAnsi"/>
          <w:b/>
          <w:bCs/>
          <w:color w:val="3465A4"/>
          <w:highlight w:val="none"/>
          <w:shd w:fill="auto" w:val="clear"/>
        </w:rPr>
      </w:pPr>
      <w:r>
        <w:rPr>
          <w:rFonts w:eastAsia="" w:cs="" w:cstheme="majorBidi" w:eastAsiaTheme="majorEastAsia"/>
          <w:b/>
          <w:bCs/>
          <w:color w:val="3465A4"/>
          <w:shd w:fill="auto" w:val="clear"/>
        </w:rPr>
        <w:t xml:space="preserve">07 </w:t>
      </w:r>
      <w:r>
        <w:rPr>
          <w:rFonts w:ascii="Calibri" w:hAnsi="Calibri" w:cs="" w:asciiTheme="majorHAnsi" w:cstheme="majorBidi" w:eastAsiaTheme="majorEastAsia" w:hAnsiTheme="majorHAnsi"/>
          <w:b/>
          <w:bCs/>
          <w:color w:val="3465A4"/>
          <w:shd w:fill="auto" w:val="clear"/>
        </w:rPr>
        <w:t>耐药组与可移动遗传元件</w:t>
      </w:r>
    </w:p>
    <w:p>
      <w:pPr>
        <w:pStyle w:val="Normal"/>
        <w:keepNext w:val="false"/>
        <w:snapToGrid w:val="false"/>
        <w:spacing w:before="0" w:after="60"/>
        <w:rPr/>
      </w:pPr>
      <w:r>
        <w:rPr>
          <w:b w:val="false"/>
        </w:rPr>
        <w:t>本章描述微生物耐药相关序列及其遗传背景，重点展示类别与证据。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图形仅作占位示意；结果、参考分布及证据等级均待填写。</w:t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7.1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耐药决定因素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2592"/>
        <w:gridCol w:w="1584"/>
        <w:gridCol w:w="3887"/>
        <w:gridCol w:w="2102"/>
      </w:tblGrid>
      <w:tr>
        <w:trPr>
          <w:tblHeader w:val="true"/>
          <w:cantSplit w:val="true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基因 家族或突变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检出状态</w:t>
            </w:r>
          </w:p>
        </w:tc>
        <w:tc>
          <w:tcPr>
            <w:tcW w:w="38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序列证据</w:t>
            </w:r>
          </w:p>
        </w:tc>
        <w:tc>
          <w:tcPr>
            <w:tcW w:w="2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注释等级</w:t>
            </w:r>
          </w:p>
        </w:tc>
      </w:tr>
      <w:tr>
        <w:trPr>
          <w:cantSplit w:val="true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【项目</w:t>
            </w:r>
            <w:r>
              <w:rPr>
                <w:b w:val="false"/>
                <w:sz w:val="20"/>
              </w:rPr>
              <w:t>A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8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【覆盖与相似性摘要】</w:t>
            </w:r>
          </w:p>
        </w:tc>
        <w:tc>
          <w:tcPr>
            <w:tcW w:w="2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【项目</w:t>
            </w:r>
            <w:r>
              <w:rPr>
                <w:b w:val="false"/>
                <w:sz w:val="20"/>
              </w:rPr>
              <w:t>B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8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【覆盖与相似性摘要】</w:t>
            </w:r>
          </w:p>
        </w:tc>
        <w:tc>
          <w:tcPr>
            <w:tcW w:w="2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【项目</w:t>
            </w:r>
            <w:r>
              <w:rPr>
                <w:b w:val="false"/>
                <w:sz w:val="20"/>
              </w:rPr>
              <w:t>C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8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【覆盖与相似性摘要】</w:t>
            </w:r>
          </w:p>
        </w:tc>
        <w:tc>
          <w:tcPr>
            <w:tcW w:w="2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7.2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对应药物类别与机制</w:t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图 </w:t>
      </w:r>
      <w:r>
        <w:rPr>
          <w:b/>
          <w:sz w:val="20"/>
        </w:rPr>
        <w:t xml:space="preserve">7-1  </w:t>
      </w:r>
      <w:r>
        <w:rPr>
          <w:b/>
          <w:sz w:val="20"/>
        </w:rPr>
        <w:t>各药物类别相关耐药标记的标准化丰度</w:t>
      </w:r>
    </w:p>
    <w:p>
      <w:pPr>
        <w:pStyle w:val="Normal"/>
        <w:keepNext w:val="false"/>
        <w:snapToGrid w:val="false"/>
        <w:spacing w:lineRule="auto" w:line="240" w:before="0" w:after="100"/>
        <w:jc w:val="center"/>
        <w:rPr/>
      </w:pPr>
      <w:r>
        <w:rPr/>
        <w:drawing>
          <wp:inline distT="0" distB="0" distL="0" distR="0">
            <wp:extent cx="6400800" cy="1234440"/>
            <wp:effectExtent l="0" t="0" r="0" b="0"/>
            <wp:docPr id="5" name="Chart 1" descr="占位示意 可在Word中编辑数据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1800"/>
        <w:gridCol w:w="2304"/>
        <w:gridCol w:w="2880"/>
        <w:gridCol w:w="3181"/>
      </w:tblGrid>
      <w:tr>
        <w:trPr>
          <w:tblHeader w:val="true"/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对应类别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主要耐药机制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代表决定因素</w:t>
            </w:r>
          </w:p>
        </w:tc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结果与人群位置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【类别</w:t>
            </w:r>
            <w:r>
              <w:rPr>
                <w:b w:val="false"/>
                <w:sz w:val="20"/>
              </w:rPr>
              <w:t>A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【机制】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【代表基因或突变】</w:t>
            </w:r>
          </w:p>
        </w:tc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【标准化丰度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分位数】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【类别</w:t>
            </w:r>
            <w:r>
              <w:rPr>
                <w:b w:val="false"/>
                <w:sz w:val="20"/>
              </w:rPr>
              <w:t>B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【机制】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【代表基因或突变】</w:t>
            </w:r>
          </w:p>
        </w:tc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【标准化丰度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分位数】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丰度单位与统计口径【待填】；多类别标记的归类规则【待填】，不直接相加为总量。</w:t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7.3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可能宿主与可移动元件关联</w:t>
      </w:r>
    </w:p>
    <w:p>
      <w:pPr>
        <w:pStyle w:val="Normal"/>
        <w:keepNext w:val="false"/>
        <w:snapToGrid w:val="false"/>
        <w:spacing w:lineRule="auto" w:line="240" w:before="0" w:after="100"/>
        <w:jc w:val="center"/>
        <w:rPr/>
      </w:pPr>
      <w:r>
        <w:rPr/>
        <mc:AlternateContent>
          <mc:Choice Requires="wpg">
            <w:drawing>
              <wp:inline distT="0" distB="0" distL="0" distR="0">
                <wp:extent cx="6350000" cy="609600"/>
                <wp:effectExtent l="114300" t="0" r="114300" b="0"/>
                <wp:docPr id="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40" cy="609480"/>
                          <a:chOff x="0" y="0"/>
                          <a:chExt cx="6350040" cy="609480"/>
                        </a:xfrm>
                      </wpg:grpSpPr>
                      <wps:wsp>
                        <wps:cNvSpPr/>
                        <wps:nvSpPr>
                          <wps:cNvPr id="7" name=""/>
                          <wps:cNvSpPr/>
                        </wps:nvSpPr>
                        <wps:spPr>
                          <a:xfrm>
                            <a:off x="0" y="0"/>
                            <a:ext cx="1803240" cy="60948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耐药决定因素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【标记】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854360" y="304920"/>
                            <a:ext cx="368280" cy="0"/>
                          </a:xfrm>
                          <a:prstGeom prst="line">
                            <a:avLst/>
                          </a:prstGeom>
                          <a:ln w="16560">
                            <a:solidFill>
                              <a:srgbClr val="246a73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nvSpPr>
                          <wps:cNvPr id="8" name=""/>
                          <wps:cNvSpPr/>
                        </wps:nvSpPr>
                        <wps:spPr>
                          <a:xfrm>
                            <a:off x="2273400" y="0"/>
                            <a:ext cx="1803240" cy="60948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遗传背景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【质粒等元件 / 未确定】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127400" y="304920"/>
                            <a:ext cx="368280" cy="0"/>
                          </a:xfrm>
                          <a:prstGeom prst="line">
                            <a:avLst/>
                          </a:prstGeom>
                          <a:ln w="16560">
                            <a:solidFill>
                              <a:srgbClr val="246a73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nvSpPr>
                          <wps:cNvPr id="9" name=""/>
                          <wps:cNvSpPr/>
                        </wps:nvSpPr>
                        <wps:spPr>
                          <a:xfrm>
                            <a:off x="4546440" y="0"/>
                            <a:ext cx="1803240" cy="60948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微生物宿主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【已归属 / 未确定】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48.05pt;width:500pt;height:48pt" coordorigin="0,-961" coordsize="10000,960">
                <v:rect id="shape_0" fillcolor="#e2edf0" stroked="t" o:allowincell="f" style="position:absolute;left:0;top:-961;width:2839;height:95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耐药决定因素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【标记】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  <v:line id="shape_0" from="2920,-481" to="3499,-481" stroked="t" o:allowincell="f" style="position:absolute;mso-position-vertical:top">
                  <v:stroke color="#246a73" weight="16560" endarrow="block" endarrowwidth="medium" endarrowlength="medium" joinstyle="round" endcap="flat"/>
                  <v:fill o:detectmouseclick="t" on="false"/>
                  <w10:wrap type="none"/>
                </v:line>
                <v:rect id="shape_0" fillcolor="#e2edf0" stroked="t" o:allowincell="f" style="position:absolute;left:3580;top:-961;width:2839;height:95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遗传背景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【质粒等元件 / 未确定】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  <v:line id="shape_0" from="6500,-481" to="7079,-481" stroked="t" o:allowincell="f" style="position:absolute;mso-position-vertical:top">
                  <v:stroke color="#246a73" weight="16560" endarrow="block" endarrowwidth="medium" endarrowlength="medium" joinstyle="round" endcap="flat"/>
                  <v:fill o:detectmouseclick="t" on="false"/>
                  <w10:wrap type="none"/>
                </v:line>
                <v:rect id="shape_0" fillcolor="#e2edf0" stroked="t" o:allowincell="f" style="position:absolute;left:7160;top:-961;width:2839;height:95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微生物宿主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【已归属 / 未确定】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连接证据【待填】；各连接分别判断，仅在序列证据支持时填写宿主或元件名称。</w:t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7.4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结果解读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</w:rPr>
        <w:t>结果解读  【概括检出类别、证据强弱及遗传背景】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本栏描述耐药相关序列，不等同于药敏试验或个体用药效果；不直接给出抗生素选择结论。</w:t>
      </w:r>
      <w:r>
        <w:br w:type="page"/>
      </w:r>
    </w:p>
    <w:p>
      <w:pPr>
        <w:pStyle w:val="Title"/>
        <w:snapToGrid w:val="false"/>
        <w:rPr>
          <w:rFonts w:ascii="Calibri" w:hAnsi="Calibri" w:eastAsia="" w:cs="" w:asciiTheme="majorHAnsi" w:cstheme="majorBidi" w:eastAsiaTheme="majorEastAsia" w:hAnsiTheme="majorHAnsi"/>
          <w:b/>
          <w:bCs/>
          <w:color w:val="3465A4"/>
          <w:highlight w:val="none"/>
          <w:shd w:fill="auto" w:val="clear"/>
        </w:rPr>
      </w:pPr>
      <w:r>
        <w:rPr>
          <w:rFonts w:eastAsia="" w:cs="" w:cstheme="majorBidi" w:eastAsiaTheme="majorEastAsia"/>
          <w:b/>
          <w:bCs/>
          <w:color w:val="3465A4"/>
          <w:shd w:fill="auto" w:val="clear"/>
        </w:rPr>
        <w:t xml:space="preserve">08 </w:t>
      </w:r>
      <w:r>
        <w:rPr>
          <w:rFonts w:ascii="Calibri" w:hAnsi="Calibri" w:cs="" w:asciiTheme="majorHAnsi" w:cstheme="majorBidi" w:eastAsiaTheme="majorEastAsia" w:hAnsiTheme="majorHAnsi"/>
          <w:b/>
          <w:bCs/>
          <w:color w:val="3465A4"/>
          <w:shd w:fill="auto" w:val="clear"/>
        </w:rPr>
        <w:t>古菌 真菌与</w:t>
      </w:r>
      <w:r>
        <w:rPr>
          <w:rFonts w:eastAsia="" w:cs="" w:cstheme="majorBidi" w:eastAsiaTheme="majorEastAsia"/>
          <w:b/>
          <w:bCs/>
          <w:color w:val="3465A4"/>
          <w:shd w:fill="auto" w:val="clear"/>
        </w:rPr>
        <w:t>DNA</w:t>
      </w:r>
      <w:r>
        <w:rPr>
          <w:rFonts w:ascii="Calibri" w:hAnsi="Calibri" w:cs="" w:asciiTheme="majorHAnsi" w:cstheme="majorBidi" w:eastAsiaTheme="majorEastAsia" w:hAnsiTheme="majorHAnsi"/>
          <w:b/>
          <w:bCs/>
          <w:color w:val="3465A4"/>
          <w:shd w:fill="auto" w:val="clear"/>
        </w:rPr>
        <w:t>病毒组</w:t>
      </w:r>
    </w:p>
    <w:p>
      <w:pPr>
        <w:pStyle w:val="Normal"/>
        <w:keepNext w:val="false"/>
        <w:snapToGrid w:val="false"/>
        <w:spacing w:before="0" w:after="60"/>
        <w:rPr/>
      </w:pPr>
      <w:r>
        <w:rPr>
          <w:b w:val="false"/>
        </w:rPr>
        <w:t>按不同微生物类别分别展示检出结果与可报告范围。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图形仅作占位示意；结果、参考分布及证据等级均待填写。</w:t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图 </w:t>
      </w:r>
      <w:r>
        <w:rPr>
          <w:b/>
          <w:sz w:val="20"/>
        </w:rPr>
        <w:t xml:space="preserve">8-1  </w:t>
      </w:r>
      <w:r>
        <w:rPr>
          <w:b/>
          <w:sz w:val="20"/>
        </w:rPr>
        <w:t>各类微生物内部的组成概览</w:t>
      </w:r>
    </w:p>
    <w:p>
      <w:pPr>
        <w:pStyle w:val="Normal"/>
        <w:keepNext w:val="false"/>
        <w:snapToGrid w:val="false"/>
        <w:spacing w:lineRule="auto" w:line="240" w:before="0" w:after="100"/>
        <w:jc w:val="center"/>
        <w:rPr/>
      </w:pPr>
      <w:r>
        <w:rPr/>
        <w:drawing>
          <wp:inline distT="0" distB="0" distL="0" distR="0">
            <wp:extent cx="6400800" cy="1234440"/>
            <wp:effectExtent l="0" t="0" r="0" b="0"/>
            <wp:docPr id="10" name="Chart 2" descr="占位示意 可在Word中编辑数据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每行独立归一化，成员名称分别填写；图中比例不用于比较三类微生物的总量。</w:t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8.1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产甲烷古菌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2592"/>
        <w:gridCol w:w="2880"/>
        <w:gridCol w:w="4694"/>
      </w:tblGrid>
      <w:tr>
        <w:trPr>
          <w:tblHeader w:val="true"/>
          <w:cantSplit w:val="true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重点成员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检出与相对丰度</w:t>
            </w:r>
          </w:p>
        </w:tc>
        <w:tc>
          <w:tcPr>
            <w:tcW w:w="46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甲烷代谢相关标记</w:t>
            </w:r>
          </w:p>
        </w:tc>
      </w:tr>
      <w:tr>
        <w:trPr>
          <w:cantSplit w:val="true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【古菌名称】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46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【标记及功能支持】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8.2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真菌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2592"/>
        <w:gridCol w:w="2880"/>
        <w:gridCol w:w="4694"/>
      </w:tblGrid>
      <w:tr>
        <w:trPr>
          <w:tblHeader w:val="true"/>
          <w:cantSplit w:val="true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重点成员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检出与相对丰度</w:t>
            </w:r>
          </w:p>
        </w:tc>
        <w:tc>
          <w:tcPr>
            <w:tcW w:w="46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检测能力说明</w:t>
            </w:r>
          </w:p>
        </w:tc>
      </w:tr>
      <w:tr>
        <w:trPr>
          <w:cantSplit w:val="true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【真菌名称】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46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【裂解 建库及数据库覆盖】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>8.3 DNA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噬菌体与其他</w:t>
      </w:r>
      <w:r>
        <w:rPr>
          <w:rFonts w:eastAsia="" w:cs="" w:cstheme="majorBidi" w:eastAsiaTheme="majorEastAsia"/>
          <w:color w:val="EA7500"/>
          <w:shd w:fill="auto" w:val="clear"/>
        </w:rPr>
        <w:t>DNA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病毒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2592"/>
        <w:gridCol w:w="1727"/>
        <w:gridCol w:w="2737"/>
        <w:gridCol w:w="3109"/>
      </w:tblGrid>
      <w:tr>
        <w:trPr>
          <w:tblHeader w:val="true"/>
          <w:cantSplit w:val="true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重点成员或类别</w:t>
            </w:r>
          </w:p>
        </w:tc>
        <w:tc>
          <w:tcPr>
            <w:tcW w:w="17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检出状态</w:t>
            </w:r>
          </w:p>
        </w:tc>
        <w:tc>
          <w:tcPr>
            <w:tcW w:w="2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基因组质量</w:t>
            </w:r>
          </w:p>
        </w:tc>
        <w:tc>
          <w:tcPr>
            <w:tcW w:w="31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微生物宿主关联</w:t>
            </w:r>
          </w:p>
        </w:tc>
      </w:tr>
      <w:tr>
        <w:trPr>
          <w:cantSplit w:val="true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</w:t>
            </w:r>
            <w:r>
              <w:rPr>
                <w:b w:val="false"/>
                <w:sz w:val="20"/>
              </w:rPr>
              <w:t>DNA</w:t>
            </w:r>
            <w:r>
              <w:rPr>
                <w:b w:val="false"/>
                <w:sz w:val="20"/>
              </w:rPr>
              <w:t>噬菌体】</w:t>
            </w:r>
          </w:p>
        </w:tc>
        <w:tc>
          <w:tcPr>
            <w:tcW w:w="17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【完整性与质量】</w:t>
            </w:r>
          </w:p>
        </w:tc>
        <w:tc>
          <w:tcPr>
            <w:tcW w:w="31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【已支持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未确定】</w:t>
            </w:r>
          </w:p>
        </w:tc>
      </w:tr>
      <w:tr>
        <w:trPr>
          <w:cantSplit w:val="true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【其他</w:t>
            </w:r>
            <w:r>
              <w:rPr>
                <w:b w:val="false"/>
                <w:sz w:val="20"/>
              </w:rPr>
              <w:t>DNA</w:t>
            </w:r>
            <w:r>
              <w:rPr>
                <w:b w:val="false"/>
                <w:sz w:val="20"/>
              </w:rPr>
              <w:t>病毒】</w:t>
            </w:r>
          </w:p>
        </w:tc>
        <w:tc>
          <w:tcPr>
            <w:tcW w:w="17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【完整性与质量】</w:t>
            </w:r>
          </w:p>
        </w:tc>
        <w:tc>
          <w:tcPr>
            <w:tcW w:w="31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【已支持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未确定】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8.4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检测范围与结果解读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 xml:space="preserve">结果状态  支持充分 </w:t>
      </w:r>
      <w:r>
        <w:rPr>
          <w:b w:val="false"/>
          <w:sz w:val="18"/>
        </w:rPr>
        <w:t xml:space="preserve">/ </w:t>
      </w:r>
      <w:r>
        <w:rPr>
          <w:b w:val="false"/>
          <w:sz w:val="18"/>
        </w:rPr>
        <w:t xml:space="preserve">本次检测能力内未检出 </w:t>
      </w:r>
      <w:r>
        <w:rPr>
          <w:b w:val="false"/>
          <w:sz w:val="18"/>
        </w:rPr>
        <w:t xml:space="preserve">/ </w:t>
      </w:r>
      <w:r>
        <w:rPr>
          <w:b w:val="false"/>
          <w:sz w:val="18"/>
        </w:rPr>
        <w:t>覆盖不足无法判断。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</w:rPr>
        <w:t>结果解读  【概括各类微生物的主要检出及证据边界】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各类别采用各自的判定条件【版本待填】；普通</w:t>
      </w:r>
      <w:r>
        <w:rPr>
          <w:b w:val="false"/>
          <w:sz w:val="18"/>
        </w:rPr>
        <w:t>DNA</w:t>
      </w:r>
      <w:r>
        <w:rPr>
          <w:b w:val="false"/>
          <w:sz w:val="18"/>
        </w:rPr>
        <w:t>宏基因组不覆盖完整</w:t>
      </w:r>
      <w:r>
        <w:rPr>
          <w:b w:val="false"/>
          <w:sz w:val="18"/>
        </w:rPr>
        <w:t>RNA</w:t>
      </w:r>
      <w:r>
        <w:rPr>
          <w:b w:val="false"/>
          <w:sz w:val="18"/>
        </w:rPr>
        <w:t>病毒组。</w:t>
      </w:r>
      <w:r>
        <w:br w:type="page"/>
      </w:r>
    </w:p>
    <w:p>
      <w:pPr>
        <w:pStyle w:val="Title"/>
        <w:snapToGrid w:val="false"/>
        <w:rPr>
          <w:rFonts w:ascii="Calibri" w:hAnsi="Calibri" w:eastAsia="" w:cs="" w:asciiTheme="majorHAnsi" w:cstheme="majorBidi" w:eastAsiaTheme="majorEastAsia" w:hAnsiTheme="majorHAnsi"/>
          <w:b/>
          <w:bCs/>
          <w:color w:val="3465A4"/>
          <w:highlight w:val="none"/>
          <w:shd w:fill="auto" w:val="clear"/>
        </w:rPr>
      </w:pPr>
      <w:r>
        <w:rPr>
          <w:rFonts w:eastAsia="" w:cs="" w:cstheme="majorBidi" w:eastAsiaTheme="majorEastAsia"/>
          <w:b/>
          <w:bCs/>
          <w:color w:val="3465A4"/>
          <w:shd w:fill="auto" w:val="clear"/>
        </w:rPr>
        <w:t xml:space="preserve">09 </w:t>
      </w:r>
      <w:r>
        <w:rPr>
          <w:rFonts w:ascii="Calibri" w:hAnsi="Calibri" w:cs="" w:asciiTheme="majorHAnsi" w:cstheme="majorBidi" w:eastAsiaTheme="majorEastAsia" w:hAnsiTheme="majorHAnsi"/>
          <w:b/>
          <w:bCs/>
          <w:color w:val="3465A4"/>
          <w:shd w:fill="auto" w:val="clear"/>
        </w:rPr>
        <w:t>膳食底物利用与营养物质代谢</w:t>
      </w:r>
    </w:p>
    <w:p>
      <w:pPr>
        <w:pStyle w:val="Normal"/>
        <w:keepNext w:val="false"/>
        <w:snapToGrid w:val="false"/>
        <w:spacing w:before="0" w:after="60"/>
        <w:rPr/>
      </w:pPr>
      <w:r>
        <w:rPr>
          <w:b w:val="false"/>
        </w:rPr>
        <w:t>展示微生物利用底物及合成、降解营养物质的基因功能潜力。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图形仅作占位示意；结果、参考分布及证据等级均待填写。</w:t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9.1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复杂碳水底物利用潜力</w:t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图 </w:t>
      </w:r>
      <w:r>
        <w:rPr>
          <w:b/>
          <w:sz w:val="20"/>
        </w:rPr>
        <w:t xml:space="preserve">9-1  </w:t>
      </w:r>
      <w:r>
        <w:rPr>
          <w:b/>
          <w:sz w:val="20"/>
        </w:rPr>
        <w:t>不同底物利用潜力的人群位置</w:t>
      </w:r>
    </w:p>
    <w:p>
      <w:pPr>
        <w:pStyle w:val="Normal"/>
        <w:keepNext w:val="false"/>
        <w:snapToGrid w:val="false"/>
        <w:spacing w:lineRule="auto" w:line="240" w:before="0" w:after="100"/>
        <w:jc w:val="center"/>
        <w:rPr/>
      </w:pPr>
      <w:r>
        <w:rPr/>
        <w:drawing>
          <wp:inline distT="0" distB="0" distL="0" distR="0">
            <wp:extent cx="6400800" cy="1005840"/>
            <wp:effectExtent l="0" t="0" r="0" b="0"/>
            <wp:docPr id="11" name="Chart 3" descr="占位示意 可在Word中编辑数据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1656"/>
        <w:gridCol w:w="2375"/>
        <w:gridCol w:w="2305"/>
        <w:gridCol w:w="3829"/>
      </w:tblGrid>
      <w:tr>
        <w:trPr>
          <w:tblHeader w:val="true"/>
          <w:cantSplit w:val="true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底物</w:t>
            </w:r>
          </w:p>
        </w:tc>
        <w:tc>
          <w:tcPr>
            <w:tcW w:w="23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本次功能结果</w:t>
            </w:r>
          </w:p>
        </w:tc>
        <w:tc>
          <w:tcPr>
            <w:tcW w:w="2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主要贡献菌</w:t>
            </w:r>
          </w:p>
        </w:tc>
        <w:tc>
          <w:tcPr>
            <w:tcW w:w="38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关键功能与覆盖</w:t>
            </w:r>
          </w:p>
        </w:tc>
      </w:tr>
      <w:tr>
        <w:trPr>
          <w:cantSplit w:val="true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抗性淀粉</w:t>
            </w:r>
          </w:p>
        </w:tc>
        <w:tc>
          <w:tcPr>
            <w:tcW w:w="23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【结果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分位数】</w:t>
            </w:r>
          </w:p>
        </w:tc>
        <w:tc>
          <w:tcPr>
            <w:tcW w:w="2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8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【代表标记及覆盖摘要】</w:t>
            </w:r>
          </w:p>
        </w:tc>
      </w:tr>
      <w:tr>
        <w:trPr>
          <w:cantSplit w:val="true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果胶</w:t>
            </w:r>
          </w:p>
        </w:tc>
        <w:tc>
          <w:tcPr>
            <w:tcW w:w="23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【结果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分位数】</w:t>
            </w:r>
          </w:p>
        </w:tc>
        <w:tc>
          <w:tcPr>
            <w:tcW w:w="2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8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【代表标记及覆盖摘要】</w:t>
            </w:r>
          </w:p>
        </w:tc>
      </w:tr>
      <w:tr>
        <w:trPr>
          <w:cantSplit w:val="true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菊粉</w:t>
            </w:r>
          </w:p>
        </w:tc>
        <w:tc>
          <w:tcPr>
            <w:tcW w:w="23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【结果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分位数】</w:t>
            </w:r>
          </w:p>
        </w:tc>
        <w:tc>
          <w:tcPr>
            <w:tcW w:w="2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8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【代表标记及覆盖摘要】</w:t>
            </w:r>
          </w:p>
        </w:tc>
      </w:tr>
      <w:tr>
        <w:trPr>
          <w:cantSplit w:val="true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木聚糖</w:t>
            </w:r>
          </w:p>
        </w:tc>
        <w:tc>
          <w:tcPr>
            <w:tcW w:w="23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【结果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分位数】</w:t>
            </w:r>
          </w:p>
        </w:tc>
        <w:tc>
          <w:tcPr>
            <w:tcW w:w="2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8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【代表标记及覆盖摘要】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9.2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糖活性酶与相关基因簇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</w:rPr>
        <w:t>代表酶家族【待填】；相关基因簇【待填】；底物注释可信度【待填】。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底物特异性支持不足时，仅展示酶家族或通路层级，不补填具体底物结论。</w:t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9.3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其他营养物质的合成与降解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3095"/>
        <w:gridCol w:w="1800"/>
        <w:gridCol w:w="1801"/>
        <w:gridCol w:w="3469"/>
      </w:tblGrid>
      <w:tr>
        <w:trPr>
          <w:tblHeader w:val="true"/>
          <w:cantSplit w:val="true"/>
        </w:trPr>
        <w:tc>
          <w:tcPr>
            <w:tcW w:w="3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功能类别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合成潜力</w:t>
            </w:r>
          </w:p>
        </w:tc>
        <w:tc>
          <w:tcPr>
            <w:tcW w:w="18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降解潜力</w:t>
            </w:r>
          </w:p>
        </w:tc>
        <w:tc>
          <w:tcPr>
            <w:tcW w:w="34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主要贡献菌</w:t>
            </w:r>
          </w:p>
        </w:tc>
      </w:tr>
      <w:tr>
        <w:trPr>
          <w:cantSplit w:val="true"/>
        </w:trPr>
        <w:tc>
          <w:tcPr>
            <w:tcW w:w="3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蛋白质及氨基酸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18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4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3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脂质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18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4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3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维生素与辅酶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18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4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3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嘌呤与嘧啶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18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4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9.4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功能结果的证据摘要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所选功能【待填】；关键基因与覆盖【待填】；标准化丰度【待填】。贡献菌见上表，完整清单见附录。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</w:rPr>
        <w:t>结果解读  【用一至两句话概括主要结果及证据边界】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功能潜力不直接代表实际摄入、消化吸收效果或个人营养状态。</w:t>
      </w:r>
      <w:r>
        <w:br w:type="page"/>
      </w:r>
    </w:p>
    <w:p>
      <w:pPr>
        <w:pStyle w:val="Title"/>
        <w:snapToGrid w:val="false"/>
        <w:rPr>
          <w:rFonts w:ascii="Calibri" w:hAnsi="Calibri" w:eastAsia="" w:cs="" w:asciiTheme="majorHAnsi" w:cstheme="majorBidi" w:eastAsiaTheme="majorEastAsia" w:hAnsiTheme="majorHAnsi"/>
          <w:b/>
          <w:bCs/>
          <w:color w:val="3465A4"/>
          <w:highlight w:val="none"/>
          <w:shd w:fill="auto" w:val="clear"/>
        </w:rPr>
      </w:pPr>
      <w:r>
        <w:rPr>
          <w:rFonts w:eastAsia="" w:cs="" w:cstheme="majorBidi" w:eastAsiaTheme="majorEastAsia"/>
          <w:b/>
          <w:bCs/>
          <w:color w:val="3465A4"/>
          <w:shd w:fill="auto" w:val="clear"/>
        </w:rPr>
        <w:t xml:space="preserve">10 </w:t>
      </w:r>
      <w:r>
        <w:rPr>
          <w:rFonts w:ascii="Calibri" w:hAnsi="Calibri" w:cs="" w:asciiTheme="majorHAnsi" w:cstheme="majorBidi" w:eastAsiaTheme="majorEastAsia" w:hAnsiTheme="majorHAnsi"/>
          <w:b/>
          <w:bCs/>
          <w:color w:val="3465A4"/>
          <w:shd w:fill="auto" w:val="clear"/>
        </w:rPr>
        <w:t>微生物代谢物生成与利用潜力</w:t>
      </w:r>
    </w:p>
    <w:p>
      <w:pPr>
        <w:pStyle w:val="Normal"/>
        <w:keepNext w:val="false"/>
        <w:snapToGrid w:val="false"/>
        <w:spacing w:before="0" w:after="60"/>
        <w:rPr/>
      </w:pPr>
      <w:r>
        <w:rPr>
          <w:b w:val="false"/>
        </w:rPr>
        <w:t>按反应方向展示生成、利用及转化功能；本章仅呈现测序支持的功能潜力。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图形仅作占位示意；结果、参考分布及证据等级均待填写。</w:t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10.1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短链脂肪酸相关功能</w:t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图 </w:t>
      </w:r>
      <w:r>
        <w:rPr>
          <w:b/>
          <w:sz w:val="20"/>
        </w:rPr>
        <w:t xml:space="preserve">10-1  </w:t>
      </w:r>
      <w:r>
        <w:rPr>
          <w:b/>
          <w:sz w:val="20"/>
        </w:rPr>
        <w:t>短链脂肪酸生成路径的贡献构成</w:t>
      </w:r>
    </w:p>
    <w:p>
      <w:pPr>
        <w:pStyle w:val="Normal"/>
        <w:keepNext w:val="false"/>
        <w:snapToGrid w:val="false"/>
        <w:spacing w:lineRule="auto" w:line="240" w:before="0" w:after="100"/>
        <w:jc w:val="center"/>
        <w:rPr/>
      </w:pPr>
      <w:r>
        <w:rPr/>
        <w:drawing>
          <wp:inline distT="0" distB="0" distL="0" distR="0">
            <wp:extent cx="6400800" cy="1097280"/>
            <wp:effectExtent l="0" t="0" r="0" b="0"/>
            <wp:docPr id="12" name="Chart 4" descr="占位示意 可在Word中编辑数据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1511"/>
        <w:gridCol w:w="3312"/>
        <w:gridCol w:w="2305"/>
        <w:gridCol w:w="3037"/>
      </w:tblGrid>
      <w:tr>
        <w:trPr>
          <w:tblHeader w:val="true"/>
          <w:cantSplit w:val="true"/>
        </w:trPr>
        <w:tc>
          <w:tcPr>
            <w:tcW w:w="15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目标产物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主要生成路径</w:t>
            </w:r>
          </w:p>
        </w:tc>
        <w:tc>
          <w:tcPr>
            <w:tcW w:w="2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主要贡献菌</w:t>
            </w:r>
          </w:p>
        </w:tc>
        <w:tc>
          <w:tcPr>
            <w:tcW w:w="30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结果与证据</w:t>
            </w:r>
          </w:p>
        </w:tc>
      </w:tr>
      <w:tr>
        <w:trPr>
          <w:cantSplit w:val="true"/>
        </w:trPr>
        <w:tc>
          <w:tcPr>
            <w:tcW w:w="15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乙酸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【路径及关键标记】</w:t>
            </w:r>
          </w:p>
        </w:tc>
        <w:tc>
          <w:tcPr>
            <w:tcW w:w="2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0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【功能结果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证据】</w:t>
            </w:r>
          </w:p>
        </w:tc>
      </w:tr>
      <w:tr>
        <w:trPr>
          <w:cantSplit w:val="true"/>
        </w:trPr>
        <w:tc>
          <w:tcPr>
            <w:tcW w:w="15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丙酸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【路径及关键标记】</w:t>
            </w:r>
          </w:p>
        </w:tc>
        <w:tc>
          <w:tcPr>
            <w:tcW w:w="2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0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【功能结果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证据】</w:t>
            </w:r>
          </w:p>
        </w:tc>
      </w:tr>
      <w:tr>
        <w:trPr>
          <w:cantSplit w:val="true"/>
        </w:trPr>
        <w:tc>
          <w:tcPr>
            <w:tcW w:w="15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丁酸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【路径及关键标记】</w:t>
            </w:r>
          </w:p>
        </w:tc>
        <w:tc>
          <w:tcPr>
            <w:tcW w:w="2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0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【功能结果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证据】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各产物分别填写路径名称并归一化；不以图中比例比较不同产物的实际产量。</w:t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10.2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乳酸与琥珀酸的周转</w:t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图 </w:t>
      </w:r>
      <w:r>
        <w:rPr>
          <w:b/>
          <w:sz w:val="20"/>
        </w:rPr>
        <w:t xml:space="preserve">10-2  </w:t>
      </w:r>
      <w:r>
        <w:rPr>
          <w:b/>
          <w:sz w:val="20"/>
        </w:rPr>
        <w:t>中间产物的生成与后续利用</w:t>
      </w:r>
    </w:p>
    <w:p>
      <w:pPr>
        <w:pStyle w:val="Normal"/>
        <w:keepNext w:val="false"/>
        <w:snapToGrid w:val="false"/>
        <w:spacing w:lineRule="auto" w:line="240" w:before="0" w:after="100"/>
        <w:jc w:val="center"/>
        <w:rPr/>
      </w:pPr>
      <w:r>
        <w:rPr/>
        <mc:AlternateContent>
          <mc:Choice Requires="wpg">
            <w:drawing>
              <wp:inline distT="0" distB="0" distL="0" distR="0">
                <wp:extent cx="6350000" cy="609600"/>
                <wp:effectExtent l="114300" t="0" r="114300" b="0"/>
                <wp:docPr id="1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40" cy="609480"/>
                          <a:chOff x="0" y="0"/>
                          <a:chExt cx="6350040" cy="609480"/>
                        </a:xfrm>
                      </wpg:grpSpPr>
                      <wps:wsp>
                        <wps:cNvSpPr/>
                        <wps:nvSpPr>
                          <wps:cNvPr id="14" name=""/>
                          <wps:cNvSpPr/>
                        </wps:nvSpPr>
                        <wps:spPr>
                          <a:xfrm>
                            <a:off x="0" y="0"/>
                            <a:ext cx="1803240" cy="60948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上游生成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【贡献菌与路径】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854360" y="304920"/>
                            <a:ext cx="368280" cy="0"/>
                          </a:xfrm>
                          <a:prstGeom prst="line">
                            <a:avLst/>
                          </a:prstGeom>
                          <a:ln w="16560">
                            <a:solidFill>
                              <a:srgbClr val="246a73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nvSpPr>
                          <wps:cNvPr id="15" name=""/>
                          <wps:cNvSpPr/>
                        </wps:nvSpPr>
                        <wps:spPr>
                          <a:xfrm>
                            <a:off x="2273400" y="0"/>
                            <a:ext cx="1803240" cy="60948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乳酸或琥珀酸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【中间产物】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127400" y="304920"/>
                            <a:ext cx="368280" cy="0"/>
                          </a:xfrm>
                          <a:prstGeom prst="line">
                            <a:avLst/>
                          </a:prstGeom>
                          <a:ln w="16560">
                            <a:solidFill>
                              <a:srgbClr val="246a73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nvSpPr>
                          <wps:cNvPr id="16" name=""/>
                          <wps:cNvSpPr/>
                        </wps:nvSpPr>
                        <wps:spPr>
                          <a:xfrm>
                            <a:off x="4546440" y="0"/>
                            <a:ext cx="1803240" cy="60948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下游利用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【贡献菌与去向】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48.05pt;width:500pt;height:48pt" coordorigin="0,-961" coordsize="10000,960">
                <v:rect id="shape_0" fillcolor="#e2edf0" stroked="t" o:allowincell="f" style="position:absolute;left:0;top:-961;width:2839;height:95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上游生成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【贡献菌与路径】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  <v:line id="shape_0" from="2920,-481" to="3499,-481" stroked="t" o:allowincell="f" style="position:absolute;mso-position-vertical:top">
                  <v:stroke color="#246a73" weight="16560" endarrow="block" endarrowwidth="medium" endarrowlength="medium" joinstyle="round" endcap="flat"/>
                  <v:fill o:detectmouseclick="t" on="false"/>
                  <w10:wrap type="none"/>
                </v:line>
                <v:rect id="shape_0" fillcolor="#e2edf0" stroked="t" o:allowincell="f" style="position:absolute;left:3580;top:-961;width:2839;height:95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乳酸或琥珀酸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【中间产物】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  <v:line id="shape_0" from="6500,-481" to="7079,-481" stroked="t" o:allowincell="f" style="position:absolute;mso-position-vertical:top">
                  <v:stroke color="#246a73" weight="16560" endarrow="block" endarrowwidth="medium" endarrowlength="medium" joinstyle="round" endcap="flat"/>
                  <v:fill o:detectmouseclick="t" on="false"/>
                  <w10:wrap type="none"/>
                </v:line>
                <v:rect id="shape_0" fillcolor="#e2edf0" stroked="t" o:allowincell="f" style="position:absolute;left:7160;top:-961;width:2839;height:95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下游利用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【贡献菌与去向】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</v:group>
            </w:pict>
          </mc:Fallback>
        </mc:AlternateConten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1871"/>
        <w:gridCol w:w="2305"/>
        <w:gridCol w:w="2303"/>
        <w:gridCol w:w="3686"/>
      </w:tblGrid>
      <w:tr>
        <w:trPr>
          <w:tblHeader w:val="true"/>
          <w:cantSplit w:val="true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中间产物</w:t>
            </w:r>
          </w:p>
        </w:tc>
        <w:tc>
          <w:tcPr>
            <w:tcW w:w="2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生成潜力</w:t>
            </w:r>
          </w:p>
        </w:tc>
        <w:tc>
          <w:tcPr>
            <w:tcW w:w="23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利用潜力</w:t>
            </w:r>
          </w:p>
        </w:tc>
        <w:tc>
          <w:tcPr>
            <w:tcW w:w="36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衔接证据</w:t>
            </w:r>
          </w:p>
        </w:tc>
      </w:tr>
      <w:tr>
        <w:trPr>
          <w:cantSplit w:val="true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乳酸</w:t>
            </w:r>
          </w:p>
        </w:tc>
        <w:tc>
          <w:tcPr>
            <w:tcW w:w="2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3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6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琥珀酸</w:t>
            </w:r>
          </w:p>
        </w:tc>
        <w:tc>
          <w:tcPr>
            <w:tcW w:w="2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3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6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10.3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胆汁酸转化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2160"/>
        <w:gridCol w:w="2448"/>
        <w:gridCol w:w="1656"/>
        <w:gridCol w:w="3901"/>
      </w:tblGrid>
      <w:tr>
        <w:trPr>
          <w:tblHeader w:val="true"/>
          <w:cantSplit w:val="true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转化分支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代表功能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本次结果</w:t>
            </w:r>
          </w:p>
        </w:tc>
        <w:tc>
          <w:tcPr>
            <w:tcW w:w="3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主要贡献菌与证据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脱结合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BSH</w:t>
            </w:r>
            <w:r>
              <w:rPr>
                <w:b w:val="false"/>
                <w:sz w:val="20"/>
              </w:rPr>
              <w:t>相关功能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7α</w:t>
            </w:r>
            <w:r>
              <w:rPr>
                <w:b w:val="false"/>
                <w:sz w:val="20"/>
              </w:rPr>
              <w:t>脱羟基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bai</w:t>
            </w:r>
            <w:r>
              <w:rPr>
                <w:b w:val="false"/>
                <w:sz w:val="20"/>
              </w:rPr>
              <w:t>相关功能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</w:rPr>
        <w:t>结果解读  【概括生成、利用及转化方向，说明潜在衔接环节】</w:t>
      </w:r>
      <w:r>
        <w:br w:type="page"/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10.4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色氨酸代谢的不同产物方向</w:t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图 </w:t>
      </w:r>
      <w:r>
        <w:rPr>
          <w:b/>
          <w:sz w:val="20"/>
        </w:rPr>
        <w:t xml:space="preserve">10-3  </w:t>
      </w:r>
      <w:r>
        <w:rPr>
          <w:b/>
          <w:sz w:val="20"/>
        </w:rPr>
        <w:t>色氨酸相关产物的路径示意</w:t>
      </w:r>
    </w:p>
    <w:p>
      <w:pPr>
        <w:pStyle w:val="Normal"/>
        <w:keepNext w:val="false"/>
        <w:snapToGrid w:val="false"/>
        <w:spacing w:lineRule="auto" w:line="240" w:before="0" w:after="100"/>
        <w:jc w:val="center"/>
        <w:rPr/>
      </w:pPr>
      <w:r>
        <w:rPr/>
        <mc:AlternateContent>
          <mc:Choice Requires="wpg">
            <w:drawing>
              <wp:inline distT="0" distB="0" distL="0" distR="0">
                <wp:extent cx="6350000" cy="787400"/>
                <wp:effectExtent l="114300" t="0" r="114300" b="0"/>
                <wp:docPr id="1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40" cy="787320"/>
                          <a:chOff x="0" y="0"/>
                          <a:chExt cx="6350040" cy="787320"/>
                        </a:xfrm>
                      </wpg:grpSpPr>
                      <wps:wsp>
                        <wps:cNvSpPr/>
                        <wps:nvSpPr>
                          <wps:cNvPr id="18" name=""/>
                          <wps:cNvSpPr/>
                        </wps:nvSpPr>
                        <wps:spPr>
                          <a:xfrm>
                            <a:off x="0" y="0"/>
                            <a:ext cx="1803240" cy="78732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底物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色氨酸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854360" y="393840"/>
                            <a:ext cx="368280" cy="0"/>
                          </a:xfrm>
                          <a:prstGeom prst="line">
                            <a:avLst/>
                          </a:prstGeom>
                          <a:ln w="16560">
                            <a:solidFill>
                              <a:srgbClr val="246a73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nvSpPr>
                          <wps:cNvPr id="19" name=""/>
                          <wps:cNvSpPr/>
                        </wps:nvSpPr>
                        <wps:spPr>
                          <a:xfrm>
                            <a:off x="2273400" y="0"/>
                            <a:ext cx="1803240" cy="78732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不同反应分支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【关键路径】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127400" y="393840"/>
                            <a:ext cx="368280" cy="0"/>
                          </a:xfrm>
                          <a:prstGeom prst="line">
                            <a:avLst/>
                          </a:prstGeom>
                          <a:ln w="16560">
                            <a:solidFill>
                              <a:srgbClr val="246a73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nvSpPr>
                          <wps:cNvPr id="20" name=""/>
                          <wps:cNvSpPr/>
                        </wps:nvSpPr>
                        <wps:spPr>
                          <a:xfrm>
                            <a:off x="4546440" y="0"/>
                            <a:ext cx="1803240" cy="78732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产物方向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吲哚 吲哚乳酸 吲哚丙酸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62.05pt;width:500pt;height:62pt" coordorigin="0,-1241" coordsize="10000,1240">
                <v:rect id="shape_0" fillcolor="#e2edf0" stroked="t" o:allowincell="f" style="position:absolute;left:0;top:-1241;width:2839;height:123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底物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色氨酸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  <v:line id="shape_0" from="2920,-621" to="3499,-621" stroked="t" o:allowincell="f" style="position:absolute;mso-position-vertical:top">
                  <v:stroke color="#246a73" weight="16560" endarrow="block" endarrowwidth="medium" endarrowlength="medium" joinstyle="round" endcap="flat"/>
                  <v:fill o:detectmouseclick="t" on="false"/>
                  <w10:wrap type="none"/>
                </v:line>
                <v:rect id="shape_0" fillcolor="#e2edf0" stroked="t" o:allowincell="f" style="position:absolute;left:3580;top:-1241;width:2839;height:123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不同反应分支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【关键路径】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  <v:line id="shape_0" from="6500,-621" to="7079,-621" stroked="t" o:allowincell="f" style="position:absolute;mso-position-vertical:top">
                  <v:stroke color="#246a73" weight="16560" endarrow="block" endarrowwidth="medium" endarrowlength="medium" joinstyle="round" endcap="flat"/>
                  <v:fill o:detectmouseclick="t" on="false"/>
                  <w10:wrap type="none"/>
                </v:line>
                <v:rect id="shape_0" fillcolor="#e2edf0" stroked="t" o:allowincell="f" style="position:absolute;left:7160;top:-1241;width:2839;height:123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产物方向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吲哚 吲哚乳酸 吲哚丙酸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</v:group>
            </w:pict>
          </mc:Fallback>
        </mc:AlternateConten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1871"/>
        <w:gridCol w:w="2880"/>
        <w:gridCol w:w="2233"/>
        <w:gridCol w:w="3181"/>
      </w:tblGrid>
      <w:tr>
        <w:trPr>
          <w:tblHeader w:val="true"/>
          <w:cantSplit w:val="true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产物方向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关键路径或标记</w:t>
            </w:r>
          </w:p>
        </w:tc>
        <w:tc>
          <w:tcPr>
            <w:tcW w:w="2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主要贡献菌</w:t>
            </w:r>
          </w:p>
        </w:tc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功能结果与证据</w:t>
            </w:r>
          </w:p>
        </w:tc>
      </w:tr>
      <w:tr>
        <w:trPr>
          <w:cantSplit w:val="true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吲哚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吲哚乳酸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吲哚丙酸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各产物分别解读，生成与利用信息按相应路径填写。肠脑轴中的相关解读见第</w:t>
      </w:r>
      <w:r>
        <w:rPr>
          <w:b w:val="false"/>
          <w:sz w:val="18"/>
        </w:rPr>
        <w:t>12</w:t>
      </w:r>
      <w:r>
        <w:rPr>
          <w:b w:val="false"/>
          <w:sz w:val="18"/>
        </w:rPr>
        <w:t>章。</w:t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10.5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蛋白发酵与生物胺相关功能</w:t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图 </w:t>
      </w:r>
      <w:r>
        <w:rPr>
          <w:b/>
          <w:sz w:val="20"/>
        </w:rPr>
        <w:t xml:space="preserve">10-4  </w:t>
      </w:r>
      <w:r>
        <w:rPr>
          <w:b/>
          <w:sz w:val="20"/>
        </w:rPr>
        <w:t>不同产物的生成与利用功能位置</w:t>
      </w:r>
    </w:p>
    <w:p>
      <w:pPr>
        <w:pStyle w:val="Normal"/>
        <w:keepNext w:val="false"/>
        <w:snapToGrid w:val="false"/>
        <w:spacing w:lineRule="auto" w:line="240" w:before="0" w:after="100"/>
        <w:jc w:val="center"/>
        <w:rPr/>
      </w:pPr>
      <w:r>
        <w:rPr/>
        <w:drawing>
          <wp:inline distT="0" distB="0" distL="0" distR="0">
            <wp:extent cx="6400800" cy="1508760"/>
            <wp:effectExtent l="0" t="0" r="0" b="0"/>
            <wp:docPr id="21" name="Chart 5" descr="占位示意 可在Word中编辑数据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1800"/>
        <w:gridCol w:w="2448"/>
        <w:gridCol w:w="2448"/>
        <w:gridCol w:w="3469"/>
      </w:tblGrid>
      <w:tr>
        <w:trPr>
          <w:tblHeader w:val="true"/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目标产物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生成路径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利用路径</w:t>
            </w:r>
          </w:p>
        </w:tc>
        <w:tc>
          <w:tcPr>
            <w:tcW w:w="34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贡献菌与证据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对甲酚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4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组胺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4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腐胺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4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尸胺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4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图中两类功能按各自参考分布展示；填写统一的展示口径【待填】，不以两条相减推算净生成量。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</w:rPr>
        <w:t>结果解读  【概括主要产物方向及其功能证据，避免推算粪便或体内浓度】</w:t>
      </w:r>
      <w:r>
        <w:br w:type="page"/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10.6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气体的产生与消耗相关功能</w:t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图 </w:t>
      </w:r>
      <w:r>
        <w:rPr>
          <w:b/>
          <w:sz w:val="20"/>
        </w:rPr>
        <w:t xml:space="preserve">10-5  </w:t>
      </w:r>
      <w:r>
        <w:rPr>
          <w:b/>
          <w:sz w:val="20"/>
        </w:rPr>
        <w:t>气体代谢路径概览</w:t>
      </w:r>
    </w:p>
    <w:p>
      <w:pPr>
        <w:pStyle w:val="Normal"/>
        <w:keepNext w:val="false"/>
        <w:snapToGrid w:val="false"/>
        <w:spacing w:lineRule="auto" w:line="240" w:before="0" w:after="100"/>
        <w:jc w:val="center"/>
        <w:rPr/>
      </w:pPr>
      <w:r>
        <w:rPr/>
        <w:drawing>
          <wp:inline distT="0" distB="0" distL="0" distR="0">
            <wp:extent cx="6400800" cy="1371600"/>
            <wp:effectExtent l="0" t="0" r="0" b="0"/>
            <wp:docPr id="22" name="Chart 6" descr="占位示意 可在Word中编辑数据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1728"/>
        <w:gridCol w:w="2880"/>
        <w:gridCol w:w="2376"/>
        <w:gridCol w:w="3181"/>
      </w:tblGrid>
      <w:tr>
        <w:trPr>
          <w:tblHeader w:val="true"/>
          <w:cantSplit w:val="true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功能环节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关键路径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主要贡献菌</w:t>
            </w:r>
          </w:p>
        </w:tc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结果与证据</w:t>
            </w:r>
          </w:p>
        </w:tc>
      </w:tr>
      <w:tr>
        <w:trPr>
          <w:cantSplit w:val="true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产氢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耗氢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产甲烷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硫化氢生成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结合产生与消耗功能解释，不由基因丰度直接换算排气量或症状强度。</w:t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>10.7 TMA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生成相关功能</w:t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图 </w:t>
      </w:r>
      <w:r>
        <w:rPr>
          <w:b/>
          <w:sz w:val="20"/>
        </w:rPr>
        <w:t xml:space="preserve">10-6  </w:t>
      </w:r>
      <w:r>
        <w:rPr>
          <w:b/>
          <w:sz w:val="20"/>
        </w:rPr>
        <w:t>不同底物通向</w:t>
      </w:r>
      <w:r>
        <w:rPr>
          <w:b/>
          <w:sz w:val="20"/>
        </w:rPr>
        <w:t>TMA</w:t>
      </w:r>
      <w:r>
        <w:rPr>
          <w:b/>
          <w:sz w:val="20"/>
        </w:rPr>
        <w:t>的功能分支</w:t>
      </w:r>
    </w:p>
    <w:p>
      <w:pPr>
        <w:pStyle w:val="Normal"/>
        <w:keepNext w:val="false"/>
        <w:snapToGrid w:val="false"/>
        <w:spacing w:lineRule="auto" w:line="240" w:before="0" w:after="100"/>
        <w:jc w:val="center"/>
        <w:rPr/>
      </w:pPr>
      <w:r>
        <w:rPr/>
        <mc:AlternateContent>
          <mc:Choice Requires="wpg">
            <w:drawing>
              <wp:inline distT="0" distB="0" distL="0" distR="0">
                <wp:extent cx="6350000" cy="736600"/>
                <wp:effectExtent l="114300" t="0" r="114300" b="0"/>
                <wp:docPr id="2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40" cy="736560"/>
                          <a:chOff x="0" y="0"/>
                          <a:chExt cx="6350040" cy="736560"/>
                        </a:xfrm>
                      </wpg:grpSpPr>
                      <wps:wsp>
                        <wps:cNvSpPr/>
                        <wps:nvSpPr>
                          <wps:cNvPr id="24" name=""/>
                          <wps:cNvSpPr/>
                        </wps:nvSpPr>
                        <wps:spPr>
                          <a:xfrm>
                            <a:off x="0" y="0"/>
                            <a:ext cx="1803240" cy="73656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相关底物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胆碱 肉碱等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854360" y="368280"/>
                            <a:ext cx="368280" cy="0"/>
                          </a:xfrm>
                          <a:prstGeom prst="line">
                            <a:avLst/>
                          </a:prstGeom>
                          <a:ln w="16560">
                            <a:solidFill>
                              <a:srgbClr val="246a73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nvSpPr>
                          <wps:cNvPr id="25" name=""/>
                          <wps:cNvSpPr/>
                        </wps:nvSpPr>
                        <wps:spPr>
                          <a:xfrm>
                            <a:off x="2273400" y="0"/>
                            <a:ext cx="1803240" cy="73656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独立反应路径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【路径与代表标记】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127400" y="368280"/>
                            <a:ext cx="368280" cy="0"/>
                          </a:xfrm>
                          <a:prstGeom prst="line">
                            <a:avLst/>
                          </a:prstGeom>
                          <a:ln w="16560">
                            <a:solidFill>
                              <a:srgbClr val="246a73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nvSpPr>
                          <wps:cNvPr id="26" name=""/>
                          <wps:cNvSpPr/>
                        </wps:nvSpPr>
                        <wps:spPr>
                          <a:xfrm>
                            <a:off x="4546440" y="0"/>
                            <a:ext cx="1803240" cy="73656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b/>
                                  <w:sz w:val="20"/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TMA生成潜力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【结果与贡献菌】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58.05pt;width:500pt;height:58pt" coordorigin="0,-1161" coordsize="10000,1160">
                <v:rect id="shape_0" fillcolor="#e2edf0" stroked="t" o:allowincell="f" style="position:absolute;left:0;top:-1161;width:2839;height:115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相关底物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胆碱 肉碱等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  <v:line id="shape_0" from="2920,-581" to="3499,-581" stroked="t" o:allowincell="f" style="position:absolute;mso-position-vertical:top">
                  <v:stroke color="#246a73" weight="16560" endarrow="block" endarrowwidth="medium" endarrowlength="medium" joinstyle="round" endcap="flat"/>
                  <v:fill o:detectmouseclick="t" on="false"/>
                  <w10:wrap type="none"/>
                </v:line>
                <v:rect id="shape_0" fillcolor="#e2edf0" stroked="t" o:allowincell="f" style="position:absolute;left:3580;top:-1161;width:2839;height:115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独立反应路径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【路径与代表标记】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  <v:line id="shape_0" from="6500,-581" to="7079,-581" stroked="t" o:allowincell="f" style="position:absolute;mso-position-vertical:top">
                  <v:stroke color="#246a73" weight="16560" endarrow="block" endarrowwidth="medium" endarrowlength="medium" joinstyle="round" endcap="flat"/>
                  <v:fill o:detectmouseclick="t" on="false"/>
                  <w10:wrap type="none"/>
                </v:line>
                <v:rect id="shape_0" fillcolor="#e2edf0" stroked="t" o:allowincell="f" style="position:absolute;left:7160;top:-1161;width:2839;height:115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b/>
                            <w:sz w:val="20"/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TMA生成潜力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【结果与贡献菌】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</v:group>
            </w:pict>
          </mc:Fallback>
        </mc:AlternateConten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2375"/>
        <w:gridCol w:w="2376"/>
        <w:gridCol w:w="2880"/>
        <w:gridCol w:w="2534"/>
      </w:tblGrid>
      <w:tr>
        <w:trPr>
          <w:tblHeader w:val="true"/>
          <w:cantSplit w:val="true"/>
        </w:trPr>
        <w:tc>
          <w:tcPr>
            <w:tcW w:w="23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底物分支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本次功能结果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主要贡献菌</w:t>
            </w:r>
          </w:p>
        </w:tc>
        <w:tc>
          <w:tcPr>
            <w:tcW w:w="25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证据等级</w:t>
            </w:r>
          </w:p>
        </w:tc>
      </w:tr>
      <w:tr>
        <w:trPr>
          <w:cantSplit w:val="true"/>
        </w:trPr>
        <w:tc>
          <w:tcPr>
            <w:tcW w:w="23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胆碱相关路径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5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23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肉碱相关路径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5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10.8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脂多糖与其他细胞组分合成特征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2447"/>
        <w:gridCol w:w="2881"/>
        <w:gridCol w:w="1728"/>
        <w:gridCol w:w="3109"/>
      </w:tblGrid>
      <w:tr>
        <w:trPr>
          <w:tblHeader w:val="true"/>
          <w:cantSplit w:val="true"/>
        </w:trPr>
        <w:tc>
          <w:tcPr>
            <w:tcW w:w="24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功能项目</w:t>
            </w:r>
          </w:p>
        </w:tc>
        <w:tc>
          <w:tcPr>
            <w:tcW w:w="28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代表标记或路径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功能结果</w:t>
            </w:r>
          </w:p>
        </w:tc>
        <w:tc>
          <w:tcPr>
            <w:tcW w:w="31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证据摘要</w:t>
            </w:r>
          </w:p>
        </w:tc>
      </w:tr>
      <w:tr>
        <w:trPr>
          <w:cantSplit w:val="true"/>
        </w:trPr>
        <w:tc>
          <w:tcPr>
            <w:tcW w:w="24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脂多糖相关合成</w:t>
            </w:r>
          </w:p>
        </w:tc>
        <w:tc>
          <w:tcPr>
            <w:tcW w:w="28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1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24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【其他细胞组分】</w:t>
            </w:r>
          </w:p>
        </w:tc>
        <w:tc>
          <w:tcPr>
            <w:tcW w:w="28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1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</w:rPr>
        <w:t>结果解读  【概括气体、</w:t>
      </w:r>
      <w:r>
        <w:rPr>
          <w:b w:val="false"/>
        </w:rPr>
        <w:t>TMA</w:t>
      </w:r>
      <w:r>
        <w:rPr>
          <w:b w:val="false"/>
        </w:rPr>
        <w:t>及细胞组分相关功能的重点发现】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基因证据不直接代表内毒素活性，也不用于推算</w:t>
      </w:r>
      <w:r>
        <w:rPr>
          <w:b w:val="false"/>
          <w:sz w:val="18"/>
        </w:rPr>
        <w:t>TMA</w:t>
      </w:r>
      <w:r>
        <w:rPr>
          <w:b w:val="false"/>
          <w:sz w:val="18"/>
        </w:rPr>
        <w:t>或其他分子的实际水平。</w:t>
      </w:r>
      <w:r>
        <w:br w:type="page"/>
      </w:r>
    </w:p>
    <w:p>
      <w:pPr>
        <w:pStyle w:val="Title"/>
        <w:snapToGrid w:val="false"/>
        <w:rPr>
          <w:rFonts w:ascii="Calibri" w:hAnsi="Calibri" w:eastAsia="" w:cs="" w:asciiTheme="majorHAnsi" w:cstheme="majorBidi" w:eastAsiaTheme="majorEastAsia" w:hAnsiTheme="majorHAnsi"/>
          <w:b/>
          <w:bCs/>
          <w:color w:val="3465A4"/>
          <w:highlight w:val="none"/>
          <w:shd w:fill="auto" w:val="clear"/>
        </w:rPr>
      </w:pPr>
      <w:r>
        <w:rPr>
          <w:rFonts w:eastAsia="" w:cs="" w:cstheme="majorBidi" w:eastAsiaTheme="majorEastAsia"/>
          <w:b/>
          <w:bCs/>
          <w:color w:val="3465A4"/>
          <w:shd w:fill="auto" w:val="clear"/>
        </w:rPr>
        <w:t xml:space="preserve">11 </w:t>
      </w:r>
      <w:r>
        <w:rPr>
          <w:rFonts w:ascii="Calibri" w:hAnsi="Calibri" w:cs="" w:asciiTheme="majorHAnsi" w:cstheme="majorBidi" w:eastAsiaTheme="majorEastAsia" w:hAnsiTheme="majorHAnsi"/>
          <w:b/>
          <w:bCs/>
          <w:color w:val="3465A4"/>
          <w:shd w:fill="auto" w:val="clear"/>
        </w:rPr>
        <w:t>肠道微生态与宿主互作相关特征</w:t>
      </w:r>
    </w:p>
    <w:p>
      <w:pPr>
        <w:pStyle w:val="Normal"/>
        <w:keepNext w:val="false"/>
        <w:snapToGrid w:val="false"/>
        <w:spacing w:before="0" w:after="60"/>
        <w:rPr/>
      </w:pPr>
      <w:r>
        <w:rPr>
          <w:b w:val="false"/>
        </w:rPr>
        <w:t>整合具体物种与功能证据，展示与宿主互作有关的线索。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图形仅作占位示意；结果、参考分布及证据等级均待填写。</w:t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11.1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定植抗力相关线索</w:t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图 </w:t>
      </w:r>
      <w:r>
        <w:rPr>
          <w:b/>
          <w:sz w:val="20"/>
        </w:rPr>
        <w:t xml:space="preserve">11-1  </w:t>
      </w:r>
      <w:r>
        <w:rPr>
          <w:b/>
          <w:sz w:val="20"/>
        </w:rPr>
        <w:t>相关功能与宿主互作的解读路径</w:t>
      </w:r>
    </w:p>
    <w:p>
      <w:pPr>
        <w:pStyle w:val="Normal"/>
        <w:keepNext w:val="false"/>
        <w:snapToGrid w:val="false"/>
        <w:spacing w:lineRule="auto" w:line="240" w:before="0" w:after="100"/>
        <w:jc w:val="center"/>
        <w:rPr/>
      </w:pPr>
      <w:r>
        <w:rPr/>
        <mc:AlternateContent>
          <mc:Choice Requires="wpg">
            <w:drawing>
              <wp:inline distT="0" distB="0" distL="0" distR="0">
                <wp:extent cx="6350000" cy="736600"/>
                <wp:effectExtent l="114300" t="0" r="114300" b="0"/>
                <wp:docPr id="2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40" cy="736560"/>
                          <a:chOff x="0" y="0"/>
                          <a:chExt cx="6350040" cy="736560"/>
                        </a:xfrm>
                      </wpg:grpSpPr>
                      <wps:wsp>
                        <wps:cNvSpPr/>
                        <wps:nvSpPr>
                          <wps:cNvPr id="28" name=""/>
                          <wps:cNvSpPr/>
                        </wps:nvSpPr>
                        <wps:spPr>
                          <a:xfrm>
                            <a:off x="0" y="0"/>
                            <a:ext cx="1803240" cy="73656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底物竞争与利用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【相关功能】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854360" y="368280"/>
                            <a:ext cx="368280" cy="0"/>
                          </a:xfrm>
                          <a:prstGeom prst="line">
                            <a:avLst/>
                          </a:prstGeom>
                          <a:ln w="16560">
                            <a:solidFill>
                              <a:srgbClr val="246a73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nvSpPr>
                          <wps:cNvPr id="29" name=""/>
                          <wps:cNvSpPr/>
                        </wps:nvSpPr>
                        <wps:spPr>
                          <a:xfrm>
                            <a:off x="2273400" y="0"/>
                            <a:ext cx="1803240" cy="73656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代谢环境与抑菌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【相关功能】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127400" y="368280"/>
                            <a:ext cx="368280" cy="0"/>
                          </a:xfrm>
                          <a:prstGeom prst="line">
                            <a:avLst/>
                          </a:prstGeom>
                          <a:ln w="16560">
                            <a:solidFill>
                              <a:srgbClr val="246a73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nvSpPr>
                          <wps:cNvPr id="30" name=""/>
                          <wps:cNvSpPr/>
                        </wps:nvSpPr>
                        <wps:spPr>
                          <a:xfrm>
                            <a:off x="4546440" y="0"/>
                            <a:ext cx="1803240" cy="73656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定植抗力线索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【综合证据】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58.05pt;width:500pt;height:58pt" coordorigin="0,-1161" coordsize="10000,1160">
                <v:rect id="shape_0" fillcolor="#e2edf0" stroked="t" o:allowincell="f" style="position:absolute;left:0;top:-1161;width:2839;height:115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底物竞争与利用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【相关功能】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  <v:line id="shape_0" from="2920,-581" to="3499,-581" stroked="t" o:allowincell="f" style="position:absolute;mso-position-vertical:top">
                  <v:stroke color="#246a73" weight="16560" endarrow="block" endarrowwidth="medium" endarrowlength="medium" joinstyle="round" endcap="flat"/>
                  <v:fill o:detectmouseclick="t" on="false"/>
                  <w10:wrap type="none"/>
                </v:line>
                <v:rect id="shape_0" fillcolor="#e2edf0" stroked="t" o:allowincell="f" style="position:absolute;left:3580;top:-1161;width:2839;height:115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代谢环境与抑菌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【相关功能】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  <v:line id="shape_0" from="6500,-581" to="7079,-581" stroked="t" o:allowincell="f" style="position:absolute;mso-position-vertical:top">
                  <v:stroke color="#246a73" weight="16560" endarrow="block" endarrowwidth="medium" endarrowlength="medium" joinstyle="round" endcap="flat"/>
                  <v:fill o:detectmouseclick="t" on="false"/>
                  <w10:wrap type="none"/>
                </v:line>
                <v:rect id="shape_0" fillcolor="#e2edf0" stroked="t" o:allowincell="f" style="position:absolute;left:7160;top:-1161;width:2839;height:115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定植抗力线索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【综合证据】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</v:group>
            </w:pict>
          </mc:Fallback>
        </mc:AlternateConten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1943"/>
        <w:gridCol w:w="3961"/>
        <w:gridCol w:w="1871"/>
        <w:gridCol w:w="2390"/>
      </w:tblGrid>
      <w:tr>
        <w:trPr>
          <w:tblHeader w:val="true"/>
          <w:cantSplit w:val="true"/>
        </w:trPr>
        <w:tc>
          <w:tcPr>
            <w:tcW w:w="1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相关维度</w:t>
            </w:r>
          </w:p>
        </w:tc>
        <w:tc>
          <w:tcPr>
            <w:tcW w:w="39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代表证据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本次结果</w:t>
            </w:r>
          </w:p>
        </w:tc>
        <w:tc>
          <w:tcPr>
            <w:tcW w:w="2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证据等级</w:t>
            </w:r>
          </w:p>
        </w:tc>
      </w:tr>
      <w:tr>
        <w:trPr>
          <w:cantSplit w:val="true"/>
        </w:trPr>
        <w:tc>
          <w:tcPr>
            <w:tcW w:w="1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底物竞争</w:t>
            </w:r>
          </w:p>
        </w:tc>
        <w:tc>
          <w:tcPr>
            <w:tcW w:w="39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【物种 基因或通路】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1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代谢环境</w:t>
            </w:r>
          </w:p>
        </w:tc>
        <w:tc>
          <w:tcPr>
            <w:tcW w:w="39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【物种 基因或通路】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1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抑菌相关功能</w:t>
            </w:r>
          </w:p>
        </w:tc>
        <w:tc>
          <w:tcPr>
            <w:tcW w:w="39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【物种 基因或通路】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11.2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炎症与免疫互作相关特征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2160"/>
        <w:gridCol w:w="2376"/>
        <w:gridCol w:w="3455"/>
        <w:gridCol w:w="2174"/>
      </w:tblGrid>
      <w:tr>
        <w:trPr>
          <w:tblHeader w:val="true"/>
          <w:cantSplit w:val="true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相关特征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关联方向</w:t>
            </w:r>
          </w:p>
        </w:tc>
        <w:tc>
          <w:tcPr>
            <w:tcW w:w="34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适用背景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证据等级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【特征</w:t>
            </w:r>
            <w:r>
              <w:rPr>
                <w:b w:val="false"/>
                <w:sz w:val="20"/>
              </w:rPr>
              <w:t>A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【方向或不确定】</w:t>
            </w:r>
          </w:p>
        </w:tc>
        <w:tc>
          <w:tcPr>
            <w:tcW w:w="34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【人群及研究背景】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【特征</w:t>
            </w:r>
            <w:r>
              <w:rPr>
                <w:b w:val="false"/>
                <w:sz w:val="20"/>
              </w:rPr>
              <w:t>B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【方向或不确定】</w:t>
            </w:r>
          </w:p>
        </w:tc>
        <w:tc>
          <w:tcPr>
            <w:tcW w:w="34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【人群及研究背景】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11.3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黏液糖链与宿主底物利用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</w:rPr>
        <w:t>黏蛋白相关酶【待填】；相关通路【待填】；主要贡献菌【待填】。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结合通路完整性与生态背景解读，不将相关酶检出直接等同于屏障损伤。</w:t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11.4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屏障相关线索的综合解释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2447"/>
        <w:gridCol w:w="3745"/>
        <w:gridCol w:w="3974"/>
      </w:tblGrid>
      <w:tr>
        <w:trPr>
          <w:tblHeader w:val="true"/>
          <w:cantSplit w:val="true"/>
        </w:trPr>
        <w:tc>
          <w:tcPr>
            <w:tcW w:w="24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引用结果</w:t>
            </w:r>
          </w:p>
        </w:tc>
        <w:tc>
          <w:tcPr>
            <w:tcW w:w="37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与本章的联系</w:t>
            </w:r>
          </w:p>
        </w:tc>
        <w:tc>
          <w:tcPr>
            <w:tcW w:w="39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本次可解释范围</w:t>
            </w:r>
          </w:p>
        </w:tc>
      </w:tr>
      <w:tr>
        <w:trPr>
          <w:cantSplit w:val="true"/>
        </w:trPr>
        <w:tc>
          <w:tcPr>
            <w:tcW w:w="24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第</w:t>
            </w:r>
            <w:r>
              <w:rPr>
                <w:b w:val="false"/>
                <w:sz w:val="20"/>
              </w:rPr>
              <w:t>09</w:t>
            </w:r>
            <w:r>
              <w:rPr>
                <w:b w:val="false"/>
                <w:sz w:val="20"/>
              </w:rPr>
              <w:t>章底物利用</w:t>
            </w:r>
          </w:p>
        </w:tc>
        <w:tc>
          <w:tcPr>
            <w:tcW w:w="37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【关联环节】</w:t>
            </w:r>
          </w:p>
        </w:tc>
        <w:tc>
          <w:tcPr>
            <w:tcW w:w="39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24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第</w:t>
            </w:r>
            <w:r>
              <w:rPr>
                <w:b w:val="false"/>
                <w:sz w:val="20"/>
              </w:rPr>
              <w:t>10</w:t>
            </w:r>
            <w:r>
              <w:rPr>
                <w:b w:val="false"/>
                <w:sz w:val="20"/>
              </w:rPr>
              <w:t>章代谢功能</w:t>
            </w:r>
          </w:p>
        </w:tc>
        <w:tc>
          <w:tcPr>
            <w:tcW w:w="37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【关联环节】</w:t>
            </w:r>
          </w:p>
        </w:tc>
        <w:tc>
          <w:tcPr>
            <w:tcW w:w="39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</w:rPr>
        <w:t>结果解读  【用一至两句话概括主要结果及证据边界】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本章展示关联线索，不直接给出屏障、免疫或抗炎能力分；同一功能不重复计分。</w:t>
      </w:r>
      <w:r>
        <w:br w:type="page"/>
      </w:r>
    </w:p>
    <w:p>
      <w:pPr>
        <w:pStyle w:val="Title"/>
        <w:snapToGrid w:val="false"/>
        <w:rPr>
          <w:rFonts w:ascii="Calibri" w:hAnsi="Calibri" w:eastAsia="" w:cs="" w:asciiTheme="majorHAnsi" w:cstheme="majorBidi" w:eastAsiaTheme="majorEastAsia" w:hAnsiTheme="majorHAnsi"/>
          <w:b/>
          <w:bCs/>
          <w:color w:val="3465A4"/>
          <w:highlight w:val="none"/>
          <w:shd w:fill="auto" w:val="clear"/>
        </w:rPr>
      </w:pPr>
      <w:r>
        <w:rPr>
          <w:rFonts w:eastAsia="" w:cs="" w:cstheme="majorBidi" w:eastAsiaTheme="majorEastAsia"/>
          <w:b/>
          <w:bCs/>
          <w:color w:val="3465A4"/>
          <w:shd w:fill="auto" w:val="clear"/>
        </w:rPr>
        <w:t xml:space="preserve">12 </w:t>
      </w:r>
      <w:r>
        <w:rPr>
          <w:rFonts w:ascii="Calibri" w:hAnsi="Calibri" w:cs="" w:asciiTheme="majorHAnsi" w:cstheme="majorBidi" w:eastAsiaTheme="majorEastAsia" w:hAnsiTheme="majorHAnsi"/>
          <w:b/>
          <w:bCs/>
          <w:color w:val="3465A4"/>
          <w:shd w:fill="auto" w:val="clear"/>
        </w:rPr>
        <w:t>肠脑轴与内分泌相关代谢</w:t>
      </w:r>
    </w:p>
    <w:p>
      <w:pPr>
        <w:pStyle w:val="Normal"/>
        <w:keepNext w:val="false"/>
        <w:snapToGrid w:val="false"/>
        <w:spacing w:before="0" w:after="60"/>
        <w:rPr/>
      </w:pPr>
      <w:r>
        <w:rPr>
          <w:b w:val="false"/>
        </w:rPr>
        <w:t>展示神经活性分子与激素转化的微生物功能证据，并单列量表背景。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图形仅作占位示意；结果、参考分布及证据等级均待填写。</w:t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12.1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神经活性分子的生成与降解相关功能</w:t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图 </w:t>
      </w:r>
      <w:r>
        <w:rPr>
          <w:b/>
          <w:sz w:val="20"/>
        </w:rPr>
        <w:t xml:space="preserve">12-1  </w:t>
      </w:r>
      <w:r>
        <w:rPr>
          <w:b/>
          <w:sz w:val="20"/>
        </w:rPr>
        <w:t>神经活性分子相关功能概览</w:t>
      </w:r>
    </w:p>
    <w:p>
      <w:pPr>
        <w:pStyle w:val="Normal"/>
        <w:keepNext w:val="false"/>
        <w:snapToGrid w:val="false"/>
        <w:spacing w:lineRule="auto" w:line="240" w:before="0" w:after="100"/>
        <w:jc w:val="center"/>
        <w:rPr/>
      </w:pPr>
      <w:r>
        <w:rPr/>
        <w:drawing>
          <wp:inline distT="0" distB="0" distL="0" distR="0">
            <wp:extent cx="6400800" cy="1188720"/>
            <wp:effectExtent l="0" t="0" r="0" b="0"/>
            <wp:docPr id="31" name="Chart 7" descr="占位示意 可在Word中编辑数据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2232"/>
        <w:gridCol w:w="3023"/>
        <w:gridCol w:w="2593"/>
        <w:gridCol w:w="2317"/>
      </w:tblGrid>
      <w:tr>
        <w:trPr>
          <w:tblHeader w:val="true"/>
          <w:cantSplit w:val="true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分子或功能</w:t>
            </w:r>
          </w:p>
        </w:tc>
        <w:tc>
          <w:tcPr>
            <w:tcW w:w="30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本次功能结果</w:t>
            </w:r>
          </w:p>
        </w:tc>
        <w:tc>
          <w:tcPr>
            <w:tcW w:w="2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主要贡献菌</w:t>
            </w:r>
          </w:p>
        </w:tc>
        <w:tc>
          <w:tcPr>
            <w:tcW w:w="23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证据等级</w:t>
            </w:r>
          </w:p>
        </w:tc>
      </w:tr>
      <w:tr>
        <w:trPr>
          <w:cantSplit w:val="true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GABA</w:t>
            </w:r>
            <w:r>
              <w:rPr>
                <w:b w:val="false"/>
                <w:sz w:val="20"/>
              </w:rPr>
              <w:t>相关功能</w:t>
            </w:r>
          </w:p>
        </w:tc>
        <w:tc>
          <w:tcPr>
            <w:tcW w:w="30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【生成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降解结果】</w:t>
            </w:r>
          </w:p>
        </w:tc>
        <w:tc>
          <w:tcPr>
            <w:tcW w:w="2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3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【其他功能】</w:t>
            </w:r>
          </w:p>
        </w:tc>
        <w:tc>
          <w:tcPr>
            <w:tcW w:w="30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【生成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降解结果】</w:t>
            </w:r>
          </w:p>
        </w:tc>
        <w:tc>
          <w:tcPr>
            <w:tcW w:w="2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3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12.2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芳香族氨基酸代谢的关联解读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2880"/>
        <w:gridCol w:w="3167"/>
        <w:gridCol w:w="4119"/>
      </w:tblGrid>
      <w:tr>
        <w:trPr>
          <w:tblHeader w:val="true"/>
          <w:cantSplit w:val="true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基础结果来源</w:t>
            </w:r>
          </w:p>
        </w:tc>
        <w:tc>
          <w:tcPr>
            <w:tcW w:w="3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关联线索</w:t>
            </w:r>
          </w:p>
        </w:tc>
        <w:tc>
          <w:tcPr>
            <w:tcW w:w="41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适用背景与证据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第</w:t>
            </w:r>
            <w:r>
              <w:rPr>
                <w:b w:val="false"/>
                <w:sz w:val="20"/>
              </w:rPr>
              <w:t>10</w:t>
            </w:r>
            <w:r>
              <w:rPr>
                <w:b w:val="false"/>
                <w:sz w:val="20"/>
              </w:rPr>
              <w:t>章色氨酸结果</w:t>
            </w:r>
          </w:p>
        </w:tc>
        <w:tc>
          <w:tcPr>
            <w:tcW w:w="3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【产物方向与关联】</w:t>
            </w:r>
          </w:p>
        </w:tc>
        <w:tc>
          <w:tcPr>
            <w:tcW w:w="41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【其他芳香族氨基酸】</w:t>
            </w:r>
          </w:p>
        </w:tc>
        <w:tc>
          <w:tcPr>
            <w:tcW w:w="3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【路径与关联】</w:t>
            </w:r>
          </w:p>
        </w:tc>
        <w:tc>
          <w:tcPr>
            <w:tcW w:w="41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12.3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雌激素等相关微生物转化功能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</w:rPr>
        <w:t>去结合等相关功能【待填】；关键标记【待填】；贡献菌【待填】；证据等级【待填】。</w:t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12.4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量表背景与综合解读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1800"/>
        <w:gridCol w:w="3600"/>
        <w:gridCol w:w="4766"/>
      </w:tblGrid>
      <w:tr>
        <w:trPr>
          <w:tblHeader w:val="true"/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背景信息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本次填写</w:t>
            </w:r>
          </w:p>
        </w:tc>
        <w:tc>
          <w:tcPr>
            <w:tcW w:w="47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来源与时间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睡眠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【结果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未提供】</w:t>
            </w:r>
          </w:p>
        </w:tc>
        <w:tc>
          <w:tcPr>
            <w:tcW w:w="47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【量表名及日期】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压力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【结果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未提供】</w:t>
            </w:r>
          </w:p>
        </w:tc>
        <w:tc>
          <w:tcPr>
            <w:tcW w:w="47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【量表名及日期】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情绪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【结果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未提供】</w:t>
            </w:r>
          </w:p>
        </w:tc>
        <w:tc>
          <w:tcPr>
            <w:tcW w:w="47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【量表名及日期】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</w:rPr>
        <w:t>结果解读  【用一至两句话概括主要结果及证据边界】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量表结果与测序结果分开解释；菌群基因不直接换算脑内递质或激素水平。</w:t>
      </w:r>
      <w:r>
        <w:br w:type="page"/>
      </w:r>
    </w:p>
    <w:p>
      <w:pPr>
        <w:pStyle w:val="Title"/>
        <w:snapToGrid w:val="false"/>
        <w:rPr>
          <w:rFonts w:ascii="Calibri" w:hAnsi="Calibri" w:eastAsia="" w:cs="" w:asciiTheme="majorHAnsi" w:cstheme="majorBidi" w:eastAsiaTheme="majorEastAsia" w:hAnsiTheme="majorHAnsi"/>
          <w:b/>
          <w:bCs/>
          <w:color w:val="3465A4"/>
          <w:highlight w:val="none"/>
          <w:shd w:fill="auto" w:val="clear"/>
        </w:rPr>
      </w:pPr>
      <w:r>
        <w:rPr>
          <w:rFonts w:eastAsia="" w:cs="" w:cstheme="majorBidi" w:eastAsiaTheme="majorEastAsia"/>
          <w:b/>
          <w:bCs/>
          <w:color w:val="3465A4"/>
          <w:shd w:fill="auto" w:val="clear"/>
        </w:rPr>
        <w:t xml:space="preserve">13 </w:t>
      </w:r>
      <w:r>
        <w:rPr>
          <w:rFonts w:ascii="Calibri" w:hAnsi="Calibri" w:cs="" w:asciiTheme="majorHAnsi" w:cstheme="majorBidi" w:eastAsiaTheme="majorEastAsia" w:hAnsiTheme="majorHAnsi"/>
          <w:b/>
          <w:bCs/>
          <w:color w:val="3465A4"/>
          <w:shd w:fill="auto" w:val="clear"/>
        </w:rPr>
        <w:t>症状相关特征与问卷对照</w:t>
      </w:r>
    </w:p>
    <w:p>
      <w:pPr>
        <w:pStyle w:val="Normal"/>
        <w:keepNext w:val="false"/>
        <w:snapToGrid w:val="false"/>
        <w:spacing w:before="0" w:after="60"/>
        <w:rPr/>
      </w:pPr>
      <w:r>
        <w:rPr>
          <w:b w:val="false"/>
        </w:rPr>
        <w:t>将本次排便和症状记录与功能结果并列，帮助理解可能相关的线索。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图形仅作占位示意；结果、参考分布及证据等级均待填写。</w:t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13.1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排便与症状记录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2447"/>
        <w:gridCol w:w="3600"/>
        <w:gridCol w:w="4119"/>
      </w:tblGrid>
      <w:tr>
        <w:trPr>
          <w:tblHeader w:val="true"/>
          <w:cantSplit w:val="true"/>
        </w:trPr>
        <w:tc>
          <w:tcPr>
            <w:tcW w:w="24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排便指标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本次记录</w:t>
            </w:r>
          </w:p>
        </w:tc>
        <w:tc>
          <w:tcPr>
            <w:tcW w:w="41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信息来源</w:t>
            </w:r>
          </w:p>
        </w:tc>
      </w:tr>
      <w:tr>
        <w:trPr>
          <w:cantSplit w:val="true"/>
        </w:trPr>
        <w:tc>
          <w:tcPr>
            <w:tcW w:w="24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Bristol</w:t>
            </w:r>
            <w:r>
              <w:rPr>
                <w:b w:val="false"/>
                <w:sz w:val="20"/>
              </w:rPr>
              <w:t>粪便类型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</w:t>
            </w:r>
            <w:r>
              <w:rPr>
                <w:b w:val="false"/>
                <w:sz w:val="20"/>
              </w:rPr>
              <w:t>1</w:t>
            </w:r>
            <w:r>
              <w:rPr>
                <w:b w:val="false"/>
                <w:sz w:val="20"/>
              </w:rPr>
              <w:t>至</w:t>
            </w:r>
            <w:r>
              <w:rPr>
                <w:b w:val="false"/>
                <w:sz w:val="20"/>
              </w:rPr>
              <w:t>7</w:t>
            </w:r>
            <w:r>
              <w:rPr>
                <w:b w:val="false"/>
                <w:sz w:val="20"/>
              </w:rPr>
              <w:t xml:space="preserve">型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未提供】</w:t>
            </w:r>
          </w:p>
        </w:tc>
        <w:tc>
          <w:tcPr>
            <w:tcW w:w="41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【问卷及填写日期】</w:t>
            </w:r>
          </w:p>
        </w:tc>
      </w:tr>
      <w:tr>
        <w:trPr>
          <w:cantSplit w:val="true"/>
        </w:trPr>
        <w:tc>
          <w:tcPr>
            <w:tcW w:w="24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排便频率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【次数及时间口径】</w:t>
            </w:r>
          </w:p>
        </w:tc>
        <w:tc>
          <w:tcPr>
            <w:tcW w:w="41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【问卷及填写日期】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tbl>
      <w:tblPr>
        <w:tblW w:w="10168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1727"/>
        <w:gridCol w:w="1689"/>
        <w:gridCol w:w="1688"/>
        <w:gridCol w:w="1688"/>
        <w:gridCol w:w="1688"/>
        <w:gridCol w:w="1687"/>
      </w:tblGrid>
      <w:tr>
        <w:trPr>
          <w:tblHeader w:val="true"/>
          <w:cantSplit w:val="true"/>
        </w:trPr>
        <w:tc>
          <w:tcPr>
            <w:tcW w:w="17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症状项目</w:t>
            </w:r>
          </w:p>
        </w:tc>
        <w:tc>
          <w:tcPr>
            <w:tcW w:w="16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便秘</w:t>
            </w:r>
          </w:p>
        </w:tc>
        <w:tc>
          <w:tcPr>
            <w:tcW w:w="1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腹泻</w:t>
            </w:r>
          </w:p>
        </w:tc>
        <w:tc>
          <w:tcPr>
            <w:tcW w:w="1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腹胀</w:t>
            </w:r>
          </w:p>
        </w:tc>
        <w:tc>
          <w:tcPr>
            <w:tcW w:w="1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排气</w:t>
            </w:r>
          </w:p>
        </w:tc>
        <w:tc>
          <w:tcPr>
            <w:tcW w:w="16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腹痛</w:t>
            </w:r>
          </w:p>
        </w:tc>
      </w:tr>
      <w:tr>
        <w:trPr>
          <w:cantSplit w:val="true"/>
        </w:trPr>
        <w:tc>
          <w:tcPr>
            <w:tcW w:w="17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本次记录</w:t>
            </w:r>
          </w:p>
        </w:tc>
        <w:tc>
          <w:tcPr>
            <w:tcW w:w="16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1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1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1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16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13.2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症状与功能结果对照</w:t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图 </w:t>
      </w:r>
      <w:r>
        <w:rPr>
          <w:b/>
          <w:sz w:val="20"/>
        </w:rPr>
        <w:t xml:space="preserve">13-1  </w:t>
      </w:r>
      <w:r>
        <w:rPr>
          <w:b/>
          <w:sz w:val="20"/>
        </w:rPr>
        <w:t>从症状记录到功能线索</w:t>
      </w:r>
    </w:p>
    <w:p>
      <w:pPr>
        <w:pStyle w:val="Normal"/>
        <w:keepNext w:val="false"/>
        <w:snapToGrid w:val="false"/>
        <w:spacing w:lineRule="auto" w:line="240" w:before="0" w:after="100"/>
        <w:jc w:val="center"/>
        <w:rPr/>
      </w:pPr>
      <w:r>
        <w:rPr/>
        <mc:AlternateContent>
          <mc:Choice Requires="wpg">
            <w:drawing>
              <wp:inline distT="0" distB="0" distL="0" distR="0">
                <wp:extent cx="6350000" cy="736600"/>
                <wp:effectExtent l="114300" t="0" r="114300" b="0"/>
                <wp:docPr id="3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40" cy="736560"/>
                          <a:chOff x="0" y="0"/>
                          <a:chExt cx="6350040" cy="736560"/>
                        </a:xfrm>
                      </wpg:grpSpPr>
                      <wps:wsp>
                        <wps:cNvSpPr/>
                        <wps:nvSpPr>
                          <wps:cNvPr id="33" name=""/>
                          <wps:cNvSpPr/>
                        </wps:nvSpPr>
                        <wps:spPr>
                          <a:xfrm>
                            <a:off x="0" y="0"/>
                            <a:ext cx="1803240" cy="73656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本次症状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【主要症状】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854360" y="368280"/>
                            <a:ext cx="368280" cy="0"/>
                          </a:xfrm>
                          <a:prstGeom prst="line">
                            <a:avLst/>
                          </a:prstGeom>
                          <a:ln w="16560">
                            <a:solidFill>
                              <a:srgbClr val="246a73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nvSpPr>
                          <wps:cNvPr id="34" name=""/>
                          <wps:cNvSpPr/>
                        </wps:nvSpPr>
                        <wps:spPr>
                          <a:xfrm>
                            <a:off x="2273400" y="0"/>
                            <a:ext cx="1803240" cy="73656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对应功能结果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【引用第10章】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127400" y="368280"/>
                            <a:ext cx="368280" cy="0"/>
                          </a:xfrm>
                          <a:prstGeom prst="line">
                            <a:avLst/>
                          </a:prstGeom>
                          <a:ln w="16560">
                            <a:solidFill>
                              <a:srgbClr val="246a73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nvSpPr>
                          <wps:cNvPr id="35" name=""/>
                          <wps:cNvSpPr/>
                        </wps:nvSpPr>
                        <wps:spPr>
                          <a:xfrm>
                            <a:off x="4546440" y="0"/>
                            <a:ext cx="1803240" cy="73656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关联解读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【方向与证据】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58.05pt;width:500pt;height:58pt" coordorigin="0,-1161" coordsize="10000,1160">
                <v:rect id="shape_0" fillcolor="#e2edf0" stroked="t" o:allowincell="f" style="position:absolute;left:0;top:-1161;width:2839;height:115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本次症状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【主要症状】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  <v:line id="shape_0" from="2920,-581" to="3499,-581" stroked="t" o:allowincell="f" style="position:absolute;mso-position-vertical:top">
                  <v:stroke color="#246a73" weight="16560" endarrow="block" endarrowwidth="medium" endarrowlength="medium" joinstyle="round" endcap="flat"/>
                  <v:fill o:detectmouseclick="t" on="false"/>
                  <w10:wrap type="none"/>
                </v:line>
                <v:rect id="shape_0" fillcolor="#e2edf0" stroked="t" o:allowincell="f" style="position:absolute;left:3580;top:-1161;width:2839;height:115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对应功能结果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【引用第10章】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  <v:line id="shape_0" from="6500,-581" to="7079,-581" stroked="t" o:allowincell="f" style="position:absolute;mso-position-vertical:top">
                  <v:stroke color="#246a73" weight="16560" endarrow="block" endarrowwidth="medium" endarrowlength="medium" joinstyle="round" endcap="flat"/>
                  <v:fill o:detectmouseclick="t" on="false"/>
                  <w10:wrap type="none"/>
                </v:line>
                <v:rect id="shape_0" fillcolor="#e2edf0" stroked="t" o:allowincell="f" style="position:absolute;left:7160;top:-1161;width:2839;height:115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关联解读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【方向与证据】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</v:group>
            </w:pict>
          </mc:Fallback>
        </mc:AlternateConten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2375"/>
        <w:gridCol w:w="2737"/>
        <w:gridCol w:w="2159"/>
        <w:gridCol w:w="2894"/>
      </w:tblGrid>
      <w:tr>
        <w:trPr>
          <w:tblHeader w:val="true"/>
          <w:cantSplit w:val="true"/>
        </w:trPr>
        <w:tc>
          <w:tcPr>
            <w:tcW w:w="23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功能方向</w:t>
            </w:r>
          </w:p>
        </w:tc>
        <w:tc>
          <w:tcPr>
            <w:tcW w:w="2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测序结果摘要</w:t>
            </w:r>
          </w:p>
        </w:tc>
        <w:tc>
          <w:tcPr>
            <w:tcW w:w="2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对应症状</w:t>
            </w:r>
          </w:p>
        </w:tc>
        <w:tc>
          <w:tcPr>
            <w:tcW w:w="28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关联证据</w:t>
            </w:r>
          </w:p>
        </w:tc>
      </w:tr>
      <w:tr>
        <w:trPr>
          <w:cantSplit w:val="true"/>
        </w:trPr>
        <w:tc>
          <w:tcPr>
            <w:tcW w:w="23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产气与耗气</w:t>
            </w:r>
          </w:p>
        </w:tc>
        <w:tc>
          <w:tcPr>
            <w:tcW w:w="2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8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23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乳酸利用</w:t>
            </w:r>
          </w:p>
        </w:tc>
        <w:tc>
          <w:tcPr>
            <w:tcW w:w="2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8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23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蛋白发酵</w:t>
            </w:r>
          </w:p>
        </w:tc>
        <w:tc>
          <w:tcPr>
            <w:tcW w:w="2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8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23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胆汁酸转化</w:t>
            </w:r>
          </w:p>
        </w:tc>
        <w:tc>
          <w:tcPr>
            <w:tcW w:w="2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8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13.3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关联方向与可解释范围</w:t>
      </w:r>
    </w:p>
    <w:p>
      <w:pPr>
        <w:pStyle w:val="Normal"/>
        <w:keepNext w:val="false"/>
        <w:snapToGrid w:val="false"/>
        <w:spacing w:before="0" w:after="100"/>
        <w:rPr/>
      </w:pPr>
      <w:r>
        <w:rPr>
          <w:b w:val="false"/>
        </w:rPr>
        <w:t xml:space="preserve">重点关联【待填】；方向【同向 </w:t>
      </w:r>
      <w:r>
        <w:rPr>
          <w:b w:val="false"/>
        </w:rPr>
        <w:t xml:space="preserve">/ </w:t>
      </w:r>
      <w:r>
        <w:rPr>
          <w:b w:val="false"/>
        </w:rPr>
        <w:t xml:space="preserve">反向 </w:t>
      </w:r>
      <w:r>
        <w:rPr>
          <w:b w:val="false"/>
        </w:rPr>
        <w:t xml:space="preserve">/ </w:t>
      </w:r>
      <w:r>
        <w:rPr>
          <w:b w:val="false"/>
        </w:rPr>
        <w:t>不确定】；文献效应【待填】；证据等级【待填】。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拓展关联【按证据及目标人群选填】；文献来源与适用人群【待填】。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</w:rPr>
        <w:t>结果解读  【区分已记录的症状、检测结果及两者之间的研究关联】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相关方向不直接代表个体症状的原因；没有症状信息时显示“未提供”。</w:t>
      </w:r>
      <w:r>
        <w:br w:type="page"/>
      </w:r>
    </w:p>
    <w:p>
      <w:pPr>
        <w:pStyle w:val="Title"/>
        <w:snapToGrid w:val="false"/>
        <w:rPr>
          <w:rFonts w:ascii="Calibri" w:hAnsi="Calibri" w:eastAsia="" w:cs="" w:asciiTheme="majorHAnsi" w:cstheme="majorBidi" w:eastAsiaTheme="majorEastAsia" w:hAnsiTheme="majorHAnsi"/>
          <w:b/>
          <w:bCs/>
          <w:color w:val="3465A4"/>
          <w:highlight w:val="none"/>
          <w:shd w:fill="auto" w:val="clear"/>
        </w:rPr>
      </w:pPr>
      <w:r>
        <w:rPr>
          <w:rFonts w:eastAsia="" w:cs="" w:cstheme="majorBidi" w:eastAsiaTheme="majorEastAsia"/>
          <w:b/>
          <w:bCs/>
          <w:color w:val="3465A4"/>
          <w:shd w:fill="auto" w:val="clear"/>
        </w:rPr>
        <w:t xml:space="preserve">14 </w:t>
      </w:r>
      <w:r>
        <w:rPr>
          <w:rFonts w:ascii="Calibri" w:hAnsi="Calibri" w:cs="" w:asciiTheme="majorHAnsi" w:cstheme="majorBidi" w:eastAsiaTheme="majorEastAsia" w:hAnsiTheme="majorHAnsi"/>
          <w:b/>
          <w:bCs/>
          <w:color w:val="3465A4"/>
          <w:shd w:fill="auto" w:val="clear"/>
        </w:rPr>
        <w:t>疾病相关特征与经验证模型</w:t>
      </w:r>
    </w:p>
    <w:p>
      <w:pPr>
        <w:pStyle w:val="Normal"/>
        <w:keepNext w:val="false"/>
        <w:snapToGrid w:val="false"/>
        <w:spacing w:before="0" w:after="60"/>
        <w:rPr/>
      </w:pPr>
      <w:r>
        <w:rPr>
          <w:b w:val="false"/>
        </w:rPr>
        <w:t>先展示疾病研究关联，再单独呈现符合适用条件的模型结果。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图形仅作占位示意；结果、参考分布及证据等级均待填写。</w:t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14.1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疾病关联模块与适用范围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2160"/>
        <w:gridCol w:w="1439"/>
        <w:gridCol w:w="3889"/>
        <w:gridCol w:w="2677"/>
      </w:tblGrid>
      <w:tr>
        <w:trPr>
          <w:tblHeader w:val="true"/>
          <w:cantSplit w:val="true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关联模块</w:t>
            </w:r>
          </w:p>
        </w:tc>
        <w:tc>
          <w:tcPr>
            <w:tcW w:w="14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是否启用</w:t>
            </w:r>
          </w:p>
        </w:tc>
        <w:tc>
          <w:tcPr>
            <w:tcW w:w="38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目标用途或适用人群</w:t>
            </w:r>
          </w:p>
        </w:tc>
        <w:tc>
          <w:tcPr>
            <w:tcW w:w="2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结果类型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炎症性肠病</w:t>
            </w:r>
          </w:p>
        </w:tc>
        <w:tc>
          <w:tcPr>
            <w:tcW w:w="14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8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【研究性关联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模型】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肠易激综合征</w:t>
            </w:r>
          </w:p>
        </w:tc>
        <w:tc>
          <w:tcPr>
            <w:tcW w:w="14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8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【研究性关联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模型】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结直肠癌</w:t>
            </w:r>
          </w:p>
        </w:tc>
        <w:tc>
          <w:tcPr>
            <w:tcW w:w="14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8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【研究性关联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模型】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【代谢疾病模块】</w:t>
            </w:r>
          </w:p>
        </w:tc>
        <w:tc>
          <w:tcPr>
            <w:tcW w:w="14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8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【研究性关联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模型】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图 </w:t>
      </w:r>
      <w:r>
        <w:rPr>
          <w:b/>
          <w:sz w:val="20"/>
        </w:rPr>
        <w:t xml:space="preserve">14-1  </w:t>
      </w:r>
      <w:r>
        <w:rPr>
          <w:b/>
          <w:sz w:val="20"/>
        </w:rPr>
        <w:t>关联证据与模型输出的呈现关系</w:t>
      </w:r>
    </w:p>
    <w:p>
      <w:pPr>
        <w:pStyle w:val="Normal"/>
        <w:keepNext w:val="false"/>
        <w:snapToGrid w:val="false"/>
        <w:spacing w:lineRule="auto" w:line="240" w:before="0" w:after="100"/>
        <w:jc w:val="center"/>
        <w:rPr/>
      </w:pPr>
      <w:r>
        <w:rPr/>
        <mc:AlternateContent>
          <mc:Choice Requires="wpg">
            <w:drawing>
              <wp:inline distT="0" distB="0" distL="0" distR="0">
                <wp:extent cx="6350000" cy="787400"/>
                <wp:effectExtent l="114300" t="0" r="114300" b="0"/>
                <wp:docPr id="3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40" cy="787320"/>
                          <a:chOff x="0" y="0"/>
                          <a:chExt cx="6350040" cy="787320"/>
                        </a:xfrm>
                      </wpg:grpSpPr>
                      <wps:wsp>
                        <wps:cNvSpPr/>
                        <wps:nvSpPr>
                          <wps:cNvPr id="37" name=""/>
                          <wps:cNvSpPr/>
                        </wps:nvSpPr>
                        <wps:spPr>
                          <a:xfrm>
                            <a:off x="0" y="0"/>
                            <a:ext cx="1803240" cy="78732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物种或功能特征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【检测结果】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854360" y="393840"/>
                            <a:ext cx="368280" cy="0"/>
                          </a:xfrm>
                          <a:prstGeom prst="line">
                            <a:avLst/>
                          </a:prstGeom>
                          <a:ln w="16560">
                            <a:solidFill>
                              <a:srgbClr val="246a73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nvSpPr>
                          <wps:cNvPr id="38" name=""/>
                          <wps:cNvSpPr/>
                        </wps:nvSpPr>
                        <wps:spPr>
                          <a:xfrm>
                            <a:off x="2273400" y="0"/>
                            <a:ext cx="1803240" cy="78732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疾病研究关联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【方向与证据】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127400" y="393840"/>
                            <a:ext cx="368280" cy="0"/>
                          </a:xfrm>
                          <a:prstGeom prst="line">
                            <a:avLst/>
                          </a:prstGeom>
                          <a:ln w="16560">
                            <a:solidFill>
                              <a:srgbClr val="246a73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nvSpPr>
                          <wps:cNvPr id="39" name=""/>
                          <wps:cNvSpPr/>
                        </wps:nvSpPr>
                        <wps:spPr>
                          <a:xfrm>
                            <a:off x="4546440" y="0"/>
                            <a:ext cx="1803240" cy="78732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适用性通过后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【另列模型输出】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62.05pt;width:500pt;height:62pt" coordorigin="0,-1241" coordsize="10000,1240">
                <v:rect id="shape_0" fillcolor="#e2edf0" stroked="t" o:allowincell="f" style="position:absolute;left:0;top:-1241;width:2839;height:123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物种或功能特征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【检测结果】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  <v:line id="shape_0" from="2920,-621" to="3499,-621" stroked="t" o:allowincell="f" style="position:absolute;mso-position-vertical:top">
                  <v:stroke color="#246a73" weight="16560" endarrow="block" endarrowwidth="medium" endarrowlength="medium" joinstyle="round" endcap="flat"/>
                  <v:fill o:detectmouseclick="t" on="false"/>
                  <w10:wrap type="none"/>
                </v:line>
                <v:rect id="shape_0" fillcolor="#e2edf0" stroked="t" o:allowincell="f" style="position:absolute;left:3580;top:-1241;width:2839;height:123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疾病研究关联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【方向与证据】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  <v:line id="shape_0" from="6500,-621" to="7079,-621" stroked="t" o:allowincell="f" style="position:absolute;mso-position-vertical:top">
                  <v:stroke color="#246a73" weight="16560" endarrow="block" endarrowwidth="medium" endarrowlength="medium" joinstyle="round" endcap="flat"/>
                  <v:fill o:detectmouseclick="t" on="false"/>
                  <w10:wrap type="none"/>
                </v:line>
                <v:rect id="shape_0" fillcolor="#e2edf0" stroked="t" o:allowincell="f" style="position:absolute;left:7160;top:-1241;width:2839;height:123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适用性通过后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【另列模型输出】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14.2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关联菌与功能特征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1800"/>
        <w:gridCol w:w="3455"/>
        <w:gridCol w:w="2520"/>
        <w:gridCol w:w="2390"/>
      </w:tblGrid>
      <w:tr>
        <w:trPr>
          <w:tblHeader w:val="true"/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所选模块</w:t>
            </w:r>
          </w:p>
        </w:tc>
        <w:tc>
          <w:tcPr>
            <w:tcW w:w="34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关联特征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关联方向</w:t>
            </w:r>
          </w:p>
        </w:tc>
        <w:tc>
          <w:tcPr>
            <w:tcW w:w="2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证据等级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【模块】</w:t>
            </w:r>
          </w:p>
        </w:tc>
        <w:tc>
          <w:tcPr>
            <w:tcW w:w="34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【物种特征</w:t>
            </w:r>
            <w:r>
              <w:rPr>
                <w:b w:val="false"/>
                <w:sz w:val="20"/>
              </w:rPr>
              <w:t>A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【同向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反向】</w:t>
            </w:r>
          </w:p>
        </w:tc>
        <w:tc>
          <w:tcPr>
            <w:tcW w:w="2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【模块】</w:t>
            </w:r>
          </w:p>
        </w:tc>
        <w:tc>
          <w:tcPr>
            <w:tcW w:w="34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【物种特征</w:t>
            </w:r>
            <w:r>
              <w:rPr>
                <w:b w:val="false"/>
                <w:sz w:val="20"/>
              </w:rPr>
              <w:t>B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【同向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反向】</w:t>
            </w:r>
          </w:p>
        </w:tc>
        <w:tc>
          <w:tcPr>
            <w:tcW w:w="2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【模块】</w:t>
            </w:r>
          </w:p>
        </w:tc>
        <w:tc>
          <w:tcPr>
            <w:tcW w:w="34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【功能特征</w:t>
            </w:r>
            <w:r>
              <w:rPr>
                <w:b w:val="false"/>
                <w:sz w:val="20"/>
              </w:rPr>
              <w:t>A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【同向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反向】</w:t>
            </w:r>
          </w:p>
        </w:tc>
        <w:tc>
          <w:tcPr>
            <w:tcW w:w="2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【模块】</w:t>
            </w:r>
          </w:p>
        </w:tc>
        <w:tc>
          <w:tcPr>
            <w:tcW w:w="34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【功能特征</w:t>
            </w:r>
            <w:r>
              <w:rPr>
                <w:b w:val="false"/>
                <w:sz w:val="20"/>
              </w:rPr>
              <w:t>B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【方向不确定】</w:t>
            </w:r>
          </w:p>
        </w:tc>
        <w:tc>
          <w:tcPr>
            <w:tcW w:w="2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Normal"/>
        <w:keepNext w:val="false"/>
        <w:snapToGrid w:val="false"/>
        <w:spacing w:before="0" w:after="100"/>
        <w:rPr/>
      </w:pPr>
      <w:r>
        <w:rPr>
          <w:b w:val="false"/>
        </w:rPr>
        <w:t>所选模块的主要线索  【用一至两句话概括关联特征及研究背景】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文献来源【待填】；效应与统计口径【待填】；研究人群及适用限制【待填】。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关联特征与模型输出分别解释，不将关联菌数量直接换算为患病风险。</w:t>
      </w:r>
      <w:r>
        <w:br w:type="page"/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14.3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模型适用条件与验证信息</w:t>
      </w:r>
    </w:p>
    <w:p>
      <w:pPr>
        <w:pStyle w:val="Normal"/>
        <w:keepNext w:val="false"/>
        <w:snapToGrid w:val="false"/>
        <w:spacing w:before="0" w:after="120"/>
        <w:rPr/>
      </w:pPr>
      <w:r>
        <w:rPr>
          <w:b w:val="false"/>
        </w:rPr>
        <w:t xml:space="preserve">所选模型【名称与版本待填】；本次状态【已启用 </w:t>
      </w:r>
      <w:r>
        <w:rPr>
          <w:b w:val="false"/>
        </w:rPr>
        <w:t xml:space="preserve">/ </w:t>
      </w:r>
      <w:r>
        <w:rPr>
          <w:b w:val="false"/>
        </w:rPr>
        <w:t xml:space="preserve">不适用 </w:t>
      </w:r>
      <w:r>
        <w:rPr>
          <w:b w:val="false"/>
        </w:rPr>
        <w:t xml:space="preserve">/ </w:t>
      </w:r>
      <w:r>
        <w:rPr>
          <w:b w:val="false"/>
        </w:rPr>
        <w:t>未启用】。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2592"/>
        <w:gridCol w:w="7573"/>
      </w:tblGrid>
      <w:tr>
        <w:trPr>
          <w:tblHeader w:val="true"/>
          <w:cantSplit w:val="true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模型信息</w:t>
            </w:r>
          </w:p>
        </w:tc>
        <w:tc>
          <w:tcPr>
            <w:tcW w:w="75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填写内容</w:t>
            </w:r>
          </w:p>
        </w:tc>
      </w:tr>
      <w:tr>
        <w:trPr>
          <w:cantSplit w:val="true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目标用途与预测终点</w:t>
            </w:r>
          </w:p>
        </w:tc>
        <w:tc>
          <w:tcPr>
            <w:tcW w:w="75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【识别当前状态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预测指定时间内事件等】</w:t>
            </w:r>
          </w:p>
        </w:tc>
      </w:tr>
      <w:tr>
        <w:trPr>
          <w:cantSplit w:val="true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适用人群与排除条件</w:t>
            </w:r>
          </w:p>
        </w:tc>
        <w:tc>
          <w:tcPr>
            <w:tcW w:w="75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【人群定义及不适用条件】</w:t>
            </w:r>
          </w:p>
        </w:tc>
      </w:tr>
      <w:tr>
        <w:trPr>
          <w:cantSplit w:val="true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输入与本次数据匹配</w:t>
            </w:r>
          </w:p>
        </w:tc>
        <w:tc>
          <w:tcPr>
            <w:tcW w:w="75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【所需特征及本次是否满足】</w:t>
            </w:r>
          </w:p>
        </w:tc>
      </w:tr>
      <w:tr>
        <w:trPr>
          <w:cantSplit w:val="true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外部验证</w:t>
            </w:r>
          </w:p>
        </w:tc>
        <w:tc>
          <w:tcPr>
            <w:tcW w:w="75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【独立队列 人数 地域及验证版本】</w:t>
            </w:r>
          </w:p>
        </w:tc>
      </w:tr>
      <w:tr>
        <w:trPr>
          <w:cantSplit w:val="true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主要性能</w:t>
            </w:r>
          </w:p>
        </w:tc>
        <w:tc>
          <w:tcPr>
            <w:tcW w:w="75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【区分度 校准及适用阈值表现】</w:t>
            </w:r>
          </w:p>
        </w:tc>
      </w:tr>
      <w:tr>
        <w:trPr>
          <w:cantSplit w:val="true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本次可报告范围</w:t>
            </w:r>
          </w:p>
        </w:tc>
        <w:tc>
          <w:tcPr>
            <w:tcW w:w="75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【符合条件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 xml:space="preserve">缺少验证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其他限制】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14.4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模型结果与分值含义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2592"/>
        <w:gridCol w:w="2591"/>
        <w:gridCol w:w="4983"/>
      </w:tblGrid>
      <w:tr>
        <w:trPr>
          <w:tblHeader w:val="true"/>
          <w:cantSplit w:val="true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输出项目</w:t>
            </w:r>
          </w:p>
        </w:tc>
        <w:tc>
          <w:tcPr>
            <w:tcW w:w="25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本次结果</w:t>
            </w:r>
          </w:p>
        </w:tc>
        <w:tc>
          <w:tcPr>
            <w:tcW w:w="49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结果含义</w:t>
            </w:r>
          </w:p>
        </w:tc>
      </w:tr>
      <w:tr>
        <w:trPr>
          <w:cantSplit w:val="true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分类分值或类别</w:t>
            </w:r>
          </w:p>
        </w:tc>
        <w:tc>
          <w:tcPr>
            <w:tcW w:w="25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【待填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未启用】</w:t>
            </w:r>
          </w:p>
        </w:tc>
        <w:tc>
          <w:tcPr>
            <w:tcW w:w="49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【量尺与分值定义】</w:t>
            </w:r>
          </w:p>
        </w:tc>
      </w:tr>
      <w:tr>
        <w:trPr>
          <w:cantSplit w:val="true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未来发病概率</w:t>
            </w:r>
          </w:p>
        </w:tc>
        <w:tc>
          <w:tcPr>
            <w:tcW w:w="25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【待填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未启用】</w:t>
            </w:r>
          </w:p>
        </w:tc>
        <w:tc>
          <w:tcPr>
            <w:tcW w:w="49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【时间窗与适用验证】</w:t>
            </w:r>
          </w:p>
        </w:tc>
      </w:tr>
      <w:tr>
        <w:trPr>
          <w:cantSplit w:val="true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结果不确定性</w:t>
            </w:r>
          </w:p>
        </w:tc>
        <w:tc>
          <w:tcPr>
            <w:tcW w:w="25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【待填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无法估计】</w:t>
            </w:r>
          </w:p>
        </w:tc>
        <w:tc>
          <w:tcPr>
            <w:tcW w:w="49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【区间或主要限制】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图 </w:t>
      </w:r>
      <w:r>
        <w:rPr>
          <w:b/>
          <w:sz w:val="20"/>
        </w:rPr>
        <w:t xml:space="preserve">14-2  </w:t>
      </w:r>
      <w:r>
        <w:rPr>
          <w:b/>
          <w:sz w:val="20"/>
        </w:rPr>
        <w:t>模型结果解释顺序</w:t>
      </w:r>
    </w:p>
    <w:p>
      <w:pPr>
        <w:pStyle w:val="Normal"/>
        <w:keepNext w:val="false"/>
        <w:snapToGrid w:val="false"/>
        <w:spacing w:lineRule="auto" w:line="240" w:before="0" w:after="100"/>
        <w:jc w:val="center"/>
        <w:rPr/>
      </w:pPr>
      <w:r>
        <w:rPr/>
        <mc:AlternateContent>
          <mc:Choice Requires="wpg">
            <w:drawing>
              <wp:inline distT="0" distB="0" distL="0" distR="0">
                <wp:extent cx="6350000" cy="787400"/>
                <wp:effectExtent l="114300" t="0" r="114300" b="0"/>
                <wp:docPr id="4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40" cy="787320"/>
                          <a:chOff x="0" y="0"/>
                          <a:chExt cx="6350040" cy="787320"/>
                        </a:xfrm>
                      </wpg:grpSpPr>
                      <wps:wsp>
                        <wps:cNvSpPr/>
                        <wps:nvSpPr>
                          <wps:cNvPr id="41" name=""/>
                          <wps:cNvSpPr/>
                        </wps:nvSpPr>
                        <wps:spPr>
                          <a:xfrm>
                            <a:off x="0" y="0"/>
                            <a:ext cx="1803240" cy="78732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核对适用条件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【是否满足】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854360" y="393840"/>
                            <a:ext cx="368280" cy="0"/>
                          </a:xfrm>
                          <a:prstGeom prst="line">
                            <a:avLst/>
                          </a:prstGeom>
                          <a:ln w="16560">
                            <a:solidFill>
                              <a:srgbClr val="246a73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nvSpPr>
                          <wps:cNvPr id="42" name=""/>
                          <wps:cNvSpPr/>
                        </wps:nvSpPr>
                        <wps:spPr>
                          <a:xfrm>
                            <a:off x="2273400" y="0"/>
                            <a:ext cx="1803240" cy="78732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读取相应输出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【类别 分值或概率】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127400" y="393840"/>
                            <a:ext cx="368280" cy="0"/>
                          </a:xfrm>
                          <a:prstGeom prst="line">
                            <a:avLst/>
                          </a:prstGeom>
                          <a:ln w="16560">
                            <a:solidFill>
                              <a:srgbClr val="246a73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nvSpPr>
                          <wps:cNvPr id="43" name=""/>
                          <wps:cNvSpPr/>
                        </wps:nvSpPr>
                        <wps:spPr>
                          <a:xfrm>
                            <a:off x="4546440" y="0"/>
                            <a:ext cx="1803240" cy="78732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结合限制解释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【本次可解释结论】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62.05pt;width:500pt;height:62pt" coordorigin="0,-1241" coordsize="10000,1240">
                <v:rect id="shape_0" fillcolor="#e2edf0" stroked="t" o:allowincell="f" style="position:absolute;left:0;top:-1241;width:2839;height:123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核对适用条件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【是否满足】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  <v:line id="shape_0" from="2920,-621" to="3499,-621" stroked="t" o:allowincell="f" style="position:absolute;mso-position-vertical:top">
                  <v:stroke color="#246a73" weight="16560" endarrow="block" endarrowwidth="medium" endarrowlength="medium" joinstyle="round" endcap="flat"/>
                  <v:fill o:detectmouseclick="t" on="false"/>
                  <w10:wrap type="none"/>
                </v:line>
                <v:rect id="shape_0" fillcolor="#e2edf0" stroked="t" o:allowincell="f" style="position:absolute;left:3580;top:-1241;width:2839;height:123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读取相应输出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【类别 分值或概率】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  <v:line id="shape_0" from="6500,-621" to="7079,-621" stroked="t" o:allowincell="f" style="position:absolute;mso-position-vertical:top">
                  <v:stroke color="#246a73" weight="16560" endarrow="block" endarrowwidth="medium" endarrowlength="medium" joinstyle="round" endcap="flat"/>
                  <v:fill o:detectmouseclick="t" on="false"/>
                  <w10:wrap type="none"/>
                </v:line>
                <v:rect id="shape_0" fillcolor="#e2edf0" stroked="t" o:allowincell="f" style="position:absolute;left:7160;top:-1241;width:2839;height:123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结合限制解释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【本次可解释结论】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</w:rPr>
        <w:t>结果解读  【明确这是何种输出、适用于谁，以及本次能够说明的内容】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仅在对应验证支持时填写预测概率；缺少适用验证的模块只保留研究性关联。模型结果不替代疾病诊断。</w:t>
      </w:r>
      <w:r>
        <w:br w:type="page"/>
      </w:r>
    </w:p>
    <w:p>
      <w:pPr>
        <w:pStyle w:val="Title"/>
        <w:snapToGrid w:val="false"/>
        <w:rPr>
          <w:rFonts w:ascii="Calibri" w:hAnsi="Calibri" w:eastAsia="" w:cs="" w:asciiTheme="majorHAnsi" w:cstheme="majorBidi" w:eastAsiaTheme="majorEastAsia" w:hAnsiTheme="majorHAnsi"/>
          <w:b/>
          <w:bCs/>
          <w:color w:val="3465A4"/>
          <w:highlight w:val="none"/>
          <w:shd w:fill="auto" w:val="clear"/>
        </w:rPr>
      </w:pPr>
      <w:r>
        <w:rPr>
          <w:rFonts w:eastAsia="" w:cs="" w:cstheme="majorBidi" w:eastAsiaTheme="majorEastAsia"/>
          <w:b/>
          <w:bCs/>
          <w:color w:val="3465A4"/>
          <w:shd w:fill="auto" w:val="clear"/>
        </w:rPr>
        <w:t xml:space="preserve">15 </w:t>
      </w:r>
      <w:r>
        <w:rPr>
          <w:rFonts w:ascii="Calibri" w:hAnsi="Calibri" w:cs="" w:asciiTheme="majorHAnsi" w:cstheme="majorBidi" w:eastAsiaTheme="majorEastAsia" w:hAnsiTheme="majorHAnsi"/>
          <w:b/>
          <w:bCs/>
          <w:color w:val="3465A4"/>
          <w:shd w:fill="auto" w:val="clear"/>
        </w:rPr>
        <w:t>专项代谢转化功能</w:t>
      </w:r>
    </w:p>
    <w:p>
      <w:pPr>
        <w:pStyle w:val="Normal"/>
        <w:keepNext w:val="false"/>
        <w:snapToGrid w:val="false"/>
        <w:spacing w:before="0" w:after="60"/>
        <w:rPr/>
      </w:pPr>
      <w:r>
        <w:rPr>
          <w:b w:val="false"/>
        </w:rPr>
        <w:t>逐项展示膳食成分及药物转化的序列功能线索，并说明验证阶段。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图形仅作占位示意；结果、参考分布及证据等级均待填写。</w:t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15.1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多酚与异黄酮等膳食成分转化</w:t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图 </w:t>
      </w:r>
      <w:r>
        <w:rPr>
          <w:b/>
          <w:sz w:val="20"/>
        </w:rPr>
        <w:t xml:space="preserve">15-1  </w:t>
      </w:r>
      <w:r>
        <w:rPr>
          <w:b/>
          <w:sz w:val="20"/>
        </w:rPr>
        <w:t>从底物到转化产物的专项路径</w:t>
      </w:r>
    </w:p>
    <w:p>
      <w:pPr>
        <w:pStyle w:val="Normal"/>
        <w:keepNext w:val="false"/>
        <w:snapToGrid w:val="false"/>
        <w:spacing w:lineRule="auto" w:line="240" w:before="0" w:after="100"/>
        <w:jc w:val="center"/>
        <w:rPr/>
      </w:pPr>
      <w:r>
        <w:rPr/>
        <mc:AlternateContent>
          <mc:Choice Requires="wpg">
            <w:drawing>
              <wp:inline distT="0" distB="0" distL="0" distR="0">
                <wp:extent cx="6350000" cy="787400"/>
                <wp:effectExtent l="114300" t="0" r="114300" b="0"/>
                <wp:docPr id="4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40" cy="787320"/>
                          <a:chOff x="0" y="0"/>
                          <a:chExt cx="6350040" cy="787320"/>
                        </a:xfrm>
                      </wpg:grpSpPr>
                      <wps:wsp>
                        <wps:cNvSpPr/>
                        <wps:nvSpPr>
                          <wps:cNvPr id="45" name=""/>
                          <wps:cNvSpPr/>
                        </wps:nvSpPr>
                        <wps:spPr>
                          <a:xfrm>
                            <a:off x="0" y="0"/>
                            <a:ext cx="1803240" cy="78732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膳食成分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【具体底物】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854360" y="393840"/>
                            <a:ext cx="368280" cy="0"/>
                          </a:xfrm>
                          <a:prstGeom prst="line">
                            <a:avLst/>
                          </a:prstGeom>
                          <a:ln w="16560">
                            <a:solidFill>
                              <a:srgbClr val="246a73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nvSpPr>
                          <wps:cNvPr id="46" name=""/>
                          <wps:cNvSpPr/>
                        </wps:nvSpPr>
                        <wps:spPr>
                          <a:xfrm>
                            <a:off x="2273400" y="0"/>
                            <a:ext cx="1803240" cy="78732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微生物转化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【路径与代表酶】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127400" y="393840"/>
                            <a:ext cx="368280" cy="0"/>
                          </a:xfrm>
                          <a:prstGeom prst="line">
                            <a:avLst/>
                          </a:prstGeom>
                          <a:ln w="16560">
                            <a:solidFill>
                              <a:srgbClr val="246a73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nvSpPr>
                          <wps:cNvPr id="47" name=""/>
                          <wps:cNvSpPr/>
                        </wps:nvSpPr>
                        <wps:spPr>
                          <a:xfrm>
                            <a:off x="4546440" y="0"/>
                            <a:ext cx="1803240" cy="78732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产物方向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【目标产物】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62.05pt;width:500pt;height:62pt" coordorigin="0,-1241" coordsize="10000,1240">
                <v:rect id="shape_0" fillcolor="#e2edf0" stroked="t" o:allowincell="f" style="position:absolute;left:0;top:-1241;width:2839;height:123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膳食成分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【具体底物】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  <v:line id="shape_0" from="2920,-621" to="3499,-621" stroked="t" o:allowincell="f" style="position:absolute;mso-position-vertical:top">
                  <v:stroke color="#246a73" weight="16560" endarrow="block" endarrowwidth="medium" endarrowlength="medium" joinstyle="round" endcap="flat"/>
                  <v:fill o:detectmouseclick="t" on="false"/>
                  <w10:wrap type="none"/>
                </v:line>
                <v:rect id="shape_0" fillcolor="#e2edf0" stroked="t" o:allowincell="f" style="position:absolute;left:3580;top:-1241;width:2839;height:123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微生物转化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【路径与代表酶】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  <v:line id="shape_0" from="6500,-621" to="7079,-621" stroked="t" o:allowincell="f" style="position:absolute;mso-position-vertical:top">
                  <v:stroke color="#246a73" weight="16560" endarrow="block" endarrowwidth="medium" endarrowlength="medium" joinstyle="round" endcap="flat"/>
                  <v:fill o:detectmouseclick="t" on="false"/>
                  <w10:wrap type="none"/>
                </v:line>
                <v:rect id="shape_0" fillcolor="#e2edf0" stroked="t" o:allowincell="f" style="position:absolute;left:7160;top:-1241;width:2839;height:123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产物方向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【目标产物】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</v:group>
            </w:pict>
          </mc:Fallback>
        </mc:AlternateConten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2160"/>
        <w:gridCol w:w="2880"/>
        <w:gridCol w:w="2376"/>
        <w:gridCol w:w="2749"/>
      </w:tblGrid>
      <w:tr>
        <w:trPr>
          <w:tblHeader w:val="true"/>
          <w:cantSplit w:val="true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专项底物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路径或酶证据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主要贡献菌</w:t>
            </w:r>
          </w:p>
        </w:tc>
        <w:tc>
          <w:tcPr>
            <w:tcW w:w="27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本次功能结果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【多酚项目】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7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【异黄酮项目】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7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15.2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药物转化相关功能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2375"/>
        <w:gridCol w:w="2880"/>
        <w:gridCol w:w="2448"/>
        <w:gridCol w:w="2462"/>
      </w:tblGrid>
      <w:tr>
        <w:trPr>
          <w:tblHeader w:val="true"/>
          <w:cantSplit w:val="true"/>
        </w:trPr>
        <w:tc>
          <w:tcPr>
            <w:tcW w:w="23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专项项目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已知酶或序列变异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本次序列支持</w:t>
            </w:r>
          </w:p>
        </w:tc>
        <w:tc>
          <w:tcPr>
            <w:tcW w:w="24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适用用药背景</w:t>
            </w:r>
          </w:p>
        </w:tc>
      </w:tr>
      <w:tr>
        <w:trPr>
          <w:cantSplit w:val="true"/>
        </w:trPr>
        <w:tc>
          <w:tcPr>
            <w:tcW w:w="23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【药物或底物</w:t>
            </w:r>
            <w:r>
              <w:rPr>
                <w:b w:val="false"/>
                <w:sz w:val="20"/>
              </w:rPr>
              <w:t>A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4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【记录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未提供】</w:t>
            </w:r>
          </w:p>
        </w:tc>
      </w:tr>
      <w:tr>
        <w:trPr>
          <w:cantSplit w:val="true"/>
        </w:trPr>
        <w:tc>
          <w:tcPr>
            <w:tcW w:w="23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【药物或底物</w:t>
            </w:r>
            <w:r>
              <w:rPr>
                <w:b w:val="false"/>
                <w:sz w:val="20"/>
              </w:rPr>
              <w:t>B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4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【记录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未提供】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各项目独立填写反应方向、宿主归属与序列证据；底物范围及注释来源【待填】。</w:t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15.3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验证阶段与适用范围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1800"/>
        <w:gridCol w:w="2591"/>
        <w:gridCol w:w="2880"/>
        <w:gridCol w:w="2894"/>
      </w:tblGrid>
      <w:tr>
        <w:trPr>
          <w:tblHeader w:val="true"/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专项项目</w:t>
            </w:r>
          </w:p>
        </w:tc>
        <w:tc>
          <w:tcPr>
            <w:tcW w:w="25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路径注释证据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健康关联或应用证据</w:t>
            </w:r>
          </w:p>
        </w:tc>
        <w:tc>
          <w:tcPr>
            <w:tcW w:w="28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报告用途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【项目</w:t>
            </w:r>
            <w:r>
              <w:rPr>
                <w:b w:val="false"/>
                <w:sz w:val="20"/>
              </w:rPr>
              <w:t>A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25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8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【研究性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已验证用途】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【项目</w:t>
            </w:r>
            <w:r>
              <w:rPr>
                <w:b w:val="false"/>
                <w:sz w:val="20"/>
              </w:rPr>
              <w:t>B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25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8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【研究性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已验证用途】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</w:rPr>
        <w:t>结果解读  【说明哪些转化功能有序列支持，哪些应用解释仍不确定】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功能潜力不直接代表体内转化量；本栏不直接输出药物剂量或疗效结论。</w:t>
      </w:r>
      <w:r>
        <w:br w:type="page"/>
      </w:r>
    </w:p>
    <w:p>
      <w:pPr>
        <w:pStyle w:val="Title"/>
        <w:snapToGrid w:val="false"/>
        <w:rPr>
          <w:rFonts w:ascii="Calibri" w:hAnsi="Calibri" w:eastAsia="" w:cs="" w:asciiTheme="majorHAnsi" w:cstheme="majorBidi" w:eastAsiaTheme="majorEastAsia" w:hAnsiTheme="majorHAnsi"/>
          <w:b/>
          <w:bCs/>
          <w:color w:val="3465A4"/>
          <w:highlight w:val="none"/>
          <w:shd w:fill="auto" w:val="clear"/>
        </w:rPr>
      </w:pPr>
      <w:r>
        <w:rPr>
          <w:rFonts w:eastAsia="" w:cs="" w:cstheme="majorBidi" w:eastAsiaTheme="majorEastAsia"/>
          <w:b/>
          <w:bCs/>
          <w:color w:val="3465A4"/>
          <w:shd w:fill="auto" w:val="clear"/>
        </w:rPr>
        <w:t xml:space="preserve">16 </w:t>
      </w:r>
      <w:r>
        <w:rPr>
          <w:rFonts w:ascii="Calibri" w:hAnsi="Calibri" w:cs="" w:asciiTheme="majorHAnsi" w:cstheme="majorBidi" w:eastAsiaTheme="majorEastAsia" w:hAnsiTheme="majorHAnsi"/>
          <w:b/>
          <w:bCs/>
          <w:color w:val="3465A4"/>
          <w:shd w:fill="auto" w:val="clear"/>
        </w:rPr>
        <w:t>综合解读与行动建议</w:t>
      </w:r>
    </w:p>
    <w:p>
      <w:pPr>
        <w:pStyle w:val="Normal"/>
        <w:keepNext w:val="false"/>
        <w:snapToGrid w:val="false"/>
        <w:spacing w:before="0" w:after="60"/>
        <w:rPr/>
      </w:pPr>
      <w:r>
        <w:rPr>
          <w:b w:val="false"/>
        </w:rPr>
        <w:t>按证据及实际相关性归纳结果，并将建议对应到明确的发现与观察目标。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图形仅作占位示意；结果、参考分布及证据等级均待填写。</w:t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16.1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关键发现与需要关注的内容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1800"/>
        <w:gridCol w:w="3960"/>
        <w:gridCol w:w="2160"/>
        <w:gridCol w:w="2245"/>
      </w:tblGrid>
      <w:tr>
        <w:trPr>
          <w:tblHeader w:val="true"/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本次发现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证据充分程度</w:t>
            </w:r>
          </w:p>
        </w:tc>
        <w:tc>
          <w:tcPr>
            <w:tcW w:w="22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实际相关性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【优先关注】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【发现及来源章节】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2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【一般关注】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【发现及来源章节】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2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【暂不能判断】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【项目及原因】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2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16.2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饮食与生活方式观察目标</w:t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图 </w:t>
      </w:r>
      <w:r>
        <w:rPr>
          <w:b/>
          <w:sz w:val="20"/>
        </w:rPr>
        <w:t xml:space="preserve">16-1  </w:t>
      </w:r>
      <w:r>
        <w:rPr>
          <w:b/>
          <w:sz w:val="20"/>
        </w:rPr>
        <w:t>从关键发现到具体行动</w:t>
      </w:r>
    </w:p>
    <w:p>
      <w:pPr>
        <w:pStyle w:val="Normal"/>
        <w:keepNext w:val="false"/>
        <w:snapToGrid w:val="false"/>
        <w:spacing w:lineRule="auto" w:line="240" w:before="0" w:after="100"/>
        <w:jc w:val="center"/>
        <w:rPr/>
      </w:pPr>
      <w:r>
        <w:rPr/>
        <mc:AlternateContent>
          <mc:Choice Requires="wpg">
            <w:drawing>
              <wp:inline distT="0" distB="0" distL="0" distR="0">
                <wp:extent cx="6350000" cy="787400"/>
                <wp:effectExtent l="114300" t="0" r="114300" b="0"/>
                <wp:docPr id="4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40" cy="787320"/>
                          <a:chOff x="0" y="0"/>
                          <a:chExt cx="6350040" cy="787320"/>
                        </a:xfrm>
                      </wpg:grpSpPr>
                      <wps:wsp>
                        <wps:cNvSpPr/>
                        <wps:nvSpPr>
                          <wps:cNvPr id="49" name=""/>
                          <wps:cNvSpPr/>
                        </wps:nvSpPr>
                        <wps:spPr>
                          <a:xfrm>
                            <a:off x="0" y="0"/>
                            <a:ext cx="1803240" cy="78732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本次发现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【明确的结果】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854360" y="393840"/>
                            <a:ext cx="368280" cy="0"/>
                          </a:xfrm>
                          <a:prstGeom prst="line">
                            <a:avLst/>
                          </a:prstGeom>
                          <a:ln w="16560">
                            <a:solidFill>
                              <a:srgbClr val="246a73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nvSpPr>
                          <wps:cNvPr id="50" name=""/>
                          <wps:cNvSpPr/>
                        </wps:nvSpPr>
                        <wps:spPr>
                          <a:xfrm>
                            <a:off x="2273400" y="0"/>
                            <a:ext cx="1803240" cy="78732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对应行动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【具体可执行事项】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127400" y="393840"/>
                            <a:ext cx="368280" cy="0"/>
                          </a:xfrm>
                          <a:prstGeom prst="line">
                            <a:avLst/>
                          </a:prstGeom>
                          <a:ln w="16560">
                            <a:solidFill>
                              <a:srgbClr val="246a73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nvSpPr>
                          <wps:cNvPr id="51" name=""/>
                          <wps:cNvSpPr/>
                        </wps:nvSpPr>
                        <wps:spPr>
                          <a:xfrm>
                            <a:off x="4546440" y="0"/>
                            <a:ext cx="1803240" cy="78732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观察目标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【症状或执行记录】</w:t>
                              </w:r>
                            </w:p>
                          </w:txbxContent>
                        </wps:txbx>
                        <wps:bodyPr lIns="76320" rIns="76320" tIns="76320" bIns="50760" anchor="t" anchorCtr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62.05pt;width:500pt;height:62pt" coordorigin="0,-1241" coordsize="10000,1240">
                <v:rect id="shape_0" fillcolor="#e2edf0" stroked="t" o:allowincell="f" style="position:absolute;left:0;top:-1241;width:2839;height:123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本次发现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【明确的结果】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  <v:line id="shape_0" from="2920,-621" to="3499,-621" stroked="t" o:allowincell="f" style="position:absolute;mso-position-vertical:top">
                  <v:stroke color="#246a73" weight="16560" endarrow="block" endarrowwidth="medium" endarrowlength="medium" joinstyle="round" endcap="flat"/>
                  <v:fill o:detectmouseclick="t" on="false"/>
                  <w10:wrap type="none"/>
                </v:line>
                <v:rect id="shape_0" fillcolor="#e2edf0" stroked="t" o:allowincell="f" style="position:absolute;left:3580;top:-1241;width:2839;height:123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对应行动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【具体可执行事项】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  <v:line id="shape_0" from="6500,-621" to="7079,-621" stroked="t" o:allowincell="f" style="position:absolute;mso-position-vertical:top">
                  <v:stroke color="#246a73" weight="16560" endarrow="block" endarrowwidth="medium" endarrowlength="medium" joinstyle="round" endcap="flat"/>
                  <v:fill o:detectmouseclick="t" on="false"/>
                  <w10:wrap type="none"/>
                </v:line>
                <v:rect id="shape_0" fillcolor="#e2edf0" stroked="t" o:allowincell="f" style="position:absolute;left:7160;top:-1241;width:2839;height:123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观察目标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【症状或执行记录】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</v:group>
            </w:pict>
          </mc:Fallback>
        </mc:AlternateConten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1943"/>
        <w:gridCol w:w="2880"/>
        <w:gridCol w:w="2520"/>
        <w:gridCol w:w="2822"/>
      </w:tblGrid>
      <w:tr>
        <w:trPr>
          <w:tblHeader w:val="true"/>
          <w:cantSplit w:val="true"/>
        </w:trPr>
        <w:tc>
          <w:tcPr>
            <w:tcW w:w="1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目标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具体行动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依据</w:t>
            </w:r>
          </w:p>
        </w:tc>
        <w:tc>
          <w:tcPr>
            <w:tcW w:w="2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观察方式</w:t>
            </w:r>
          </w:p>
        </w:tc>
      </w:tr>
      <w:tr>
        <w:trPr>
          <w:cantSplit w:val="true"/>
        </w:trPr>
        <w:tc>
          <w:tcPr>
            <w:tcW w:w="1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【饮食目标】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【一项具体调整】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【结果及来源章节】</w:t>
            </w:r>
          </w:p>
        </w:tc>
        <w:tc>
          <w:tcPr>
            <w:tcW w:w="2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【执行或耐受记录】</w:t>
            </w:r>
          </w:p>
        </w:tc>
      </w:tr>
      <w:tr>
        <w:trPr>
          <w:cantSplit w:val="true"/>
        </w:trPr>
        <w:tc>
          <w:tcPr>
            <w:tcW w:w="1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【生活方式目标】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【一项具体调整】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【结果或症状记录】</w:t>
            </w:r>
          </w:p>
        </w:tc>
        <w:tc>
          <w:tcPr>
            <w:tcW w:w="2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【日常记录】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16.3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待核实信息与结果复核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2592"/>
        <w:gridCol w:w="2880"/>
        <w:gridCol w:w="4694"/>
      </w:tblGrid>
      <w:tr>
        <w:trPr>
          <w:tblHeader w:val="true"/>
          <w:cantSplit w:val="true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待核实事项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目的</w:t>
            </w:r>
          </w:p>
        </w:tc>
        <w:tc>
          <w:tcPr>
            <w:tcW w:w="46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可用依据或行动</w:t>
            </w:r>
          </w:p>
        </w:tc>
      </w:tr>
      <w:tr>
        <w:trPr>
          <w:cantSplit w:val="true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【背景信息】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【补充解释情境】</w:t>
            </w:r>
          </w:p>
        </w:tc>
        <w:tc>
          <w:tcPr>
            <w:tcW w:w="46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【核对问卷或既有记录】</w:t>
            </w:r>
          </w:p>
        </w:tc>
      </w:tr>
      <w:tr>
        <w:trPr>
          <w:cantSplit w:val="true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【序列或注释结果】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【确认报告依据】</w:t>
            </w:r>
          </w:p>
        </w:tc>
        <w:tc>
          <w:tcPr>
            <w:tcW w:w="46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【复核现有序列及分析版本】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</w:rPr>
        <w:t>结果解读  【用一至两句话说明本次最值得关注的结果和优先行动】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建议结合症状、背景及证据解释；具体内容与行动强度【待填】。</w:t>
      </w:r>
      <w:r>
        <w:br w:type="page"/>
      </w:r>
    </w:p>
    <w:p>
      <w:pPr>
        <w:pStyle w:val="Heading1"/>
        <w:snapToGrid w:val="false"/>
        <w:spacing w:lineRule="auto" w:line="240" w:before="100" w:after="80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16.4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综合健康分 失衡分与肠龄</w:t>
      </w:r>
    </w:p>
    <w:p>
      <w:pPr>
        <w:pStyle w:val="Normal"/>
        <w:keepNext w:val="false"/>
        <w:snapToGrid w:val="false"/>
        <w:spacing w:before="0" w:after="100"/>
        <w:rPr/>
      </w:pPr>
      <w:r>
        <w:rPr>
          <w:b w:val="false"/>
        </w:rPr>
        <w:t xml:space="preserve">综合指标状态【未启用 </w:t>
      </w:r>
      <w:r>
        <w:rPr>
          <w:b w:val="false"/>
        </w:rPr>
        <w:t xml:space="preserve">/ </w:t>
      </w:r>
      <w:r>
        <w:rPr>
          <w:b w:val="false"/>
        </w:rPr>
        <w:t xml:space="preserve">研究性展示 </w:t>
      </w:r>
      <w:r>
        <w:rPr>
          <w:b w:val="false"/>
        </w:rPr>
        <w:t xml:space="preserve">/ </w:t>
      </w:r>
      <w:r>
        <w:rPr>
          <w:b w:val="false"/>
        </w:rPr>
        <w:t>已验证用途】；评分与模型版本【待填】。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以下圆环为排版占位；颜色、弧长及结果均待替换，不代表正常或异常。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3388"/>
        <w:gridCol w:w="3387"/>
        <w:gridCol w:w="3391"/>
      </w:tblGrid>
      <w:tr>
        <w:trPr>
          <w:tblHeader w:val="true"/>
          <w:cantSplit w:val="true"/>
        </w:trPr>
        <w:tc>
          <w:tcPr>
            <w:tcW w:w="33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综合健康分</w:t>
            </w:r>
          </w:p>
        </w:tc>
        <w:tc>
          <w:tcPr>
            <w:tcW w:w="3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失衡分</w:t>
            </w:r>
          </w:p>
        </w:tc>
        <w:tc>
          <w:tcPr>
            <w:tcW w:w="33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模型肠龄</w:t>
            </w:r>
          </w:p>
        </w:tc>
      </w:tr>
      <w:tr>
        <w:trPr>
          <w:cantSplit w:val="true"/>
        </w:trPr>
        <w:tc>
          <w:tcPr>
            <w:tcW w:w="33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color w:val="3465A4"/>
                <w:sz w:val="46"/>
              </w:rPr>
              <w:t>【待填】</w:t>
            </w:r>
          </w:p>
        </w:tc>
        <w:tc>
          <w:tcPr>
            <w:tcW w:w="3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color w:val="3465A4"/>
                <w:sz w:val="46"/>
              </w:rPr>
              <w:t>【待填】</w:t>
            </w:r>
          </w:p>
        </w:tc>
        <w:tc>
          <w:tcPr>
            <w:tcW w:w="33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color w:val="3465A4"/>
                <w:sz w:val="46"/>
              </w:rPr>
              <w:t>【待填】岁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3388"/>
        <w:gridCol w:w="3387"/>
        <w:gridCol w:w="3391"/>
      </w:tblGrid>
      <w:tr>
        <w:trPr>
          <w:tblHeader w:val="true"/>
          <w:cantSplit w:val="true"/>
        </w:trPr>
        <w:tc>
          <w:tcPr>
            <w:tcW w:w="33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健康分展示</w:t>
            </w:r>
          </w:p>
        </w:tc>
        <w:tc>
          <w:tcPr>
            <w:tcW w:w="3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失衡分展示</w:t>
            </w:r>
          </w:p>
        </w:tc>
        <w:tc>
          <w:tcPr>
            <w:tcW w:w="33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肠龄解释</w:t>
            </w:r>
          </w:p>
        </w:tc>
      </w:tr>
      <w:tr>
        <w:trPr>
          <w:cantSplit w:val="true"/>
        </w:trPr>
        <w:tc>
          <w:tcPr>
            <w:tcW w:w="33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/>
              <w:drawing>
                <wp:inline distT="0" distB="0" distL="0" distR="0">
                  <wp:extent cx="1874520" cy="1234440"/>
                  <wp:effectExtent l="0" t="0" r="0" b="0"/>
                  <wp:docPr id="52" name="Chart 8" descr="综合指标圆环占位示意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</w:tc>
        <w:tc>
          <w:tcPr>
            <w:tcW w:w="3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/>
              <w:drawing>
                <wp:inline distT="0" distB="0" distL="0" distR="0">
                  <wp:extent cx="1874520" cy="1234440"/>
                  <wp:effectExtent l="0" t="0" r="0" b="0"/>
                  <wp:docPr id="53" name="Chart 9" descr="综合指标圆环占位示意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  <w:tc>
          <w:tcPr>
            <w:tcW w:w="33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sz w:val="20"/>
              </w:rPr>
              <w:t>实际年龄【待填】岁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模型肠龄【待填】岁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差值及含义【待填】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2160"/>
        <w:gridCol w:w="2663"/>
        <w:gridCol w:w="2665"/>
        <w:gridCol w:w="2677"/>
      </w:tblGrid>
      <w:tr>
        <w:trPr>
          <w:tblHeader w:val="true"/>
          <w:cantSplit w:val="true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/>
                <w:sz w:val="20"/>
              </w:rPr>
              <w:t>解释字段</w:t>
            </w:r>
          </w:p>
        </w:tc>
        <w:tc>
          <w:tcPr>
            <w:tcW w:w="2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综合健康分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失衡分</w:t>
            </w:r>
          </w:p>
        </w:tc>
        <w:tc>
          <w:tcPr>
            <w:tcW w:w="2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/>
                <w:sz w:val="20"/>
              </w:rPr>
              <w:t>模型肠龄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量尺与方向</w:t>
            </w:r>
          </w:p>
        </w:tc>
        <w:tc>
          <w:tcPr>
            <w:tcW w:w="2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【范围及分值方向】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【范围及分值方向】</w:t>
            </w:r>
          </w:p>
        </w:tc>
        <w:tc>
          <w:tcPr>
            <w:tcW w:w="2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【单位及定义】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参考人群与位置</w:t>
            </w:r>
          </w:p>
        </w:tc>
        <w:tc>
          <w:tcPr>
            <w:tcW w:w="2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【人群及分位数】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【人群及分位数】</w:t>
            </w:r>
          </w:p>
        </w:tc>
        <w:tc>
          <w:tcPr>
            <w:tcW w:w="2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【人群及误差】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主要输入</w:t>
            </w:r>
          </w:p>
        </w:tc>
        <w:tc>
          <w:tcPr>
            <w:tcW w:w="2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【所用指标】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【所用指标】</w:t>
            </w:r>
          </w:p>
        </w:tc>
        <w:tc>
          <w:tcPr>
            <w:tcW w:w="2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keepNext w:val="tru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【所用指标】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left"/>
              <w:rPr/>
            </w:pPr>
            <w:r>
              <w:rPr>
                <w:b w:val="false"/>
                <w:sz w:val="20"/>
              </w:rPr>
              <w:t>验证与适用性</w:t>
            </w:r>
          </w:p>
        </w:tc>
        <w:tc>
          <w:tcPr>
            <w:tcW w:w="2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【依据及限制】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【依据及限制】</w:t>
            </w:r>
          </w:p>
        </w:tc>
        <w:tc>
          <w:tcPr>
            <w:tcW w:w="2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keepNext w:val="false"/>
              <w:spacing w:lineRule="auto" w:line="240" w:before="0" w:after="20"/>
              <w:jc w:val="center"/>
              <w:rPr/>
            </w:pPr>
            <w:r>
              <w:rPr>
                <w:b w:val="false"/>
                <w:sz w:val="20"/>
              </w:rPr>
              <w:t>【依据及限制】</w:t>
            </w:r>
          </w:p>
        </w:tc>
      </w:tr>
    </w:tbl>
    <w:p>
      <w:pPr>
        <w:pStyle w:val="Normal"/>
        <w:keepNext w:val="false"/>
        <w:snapToGrid w:val="false"/>
        <w:spacing w:lineRule="exact" w:line="60" w:before="0" w:after="60"/>
        <w:rPr/>
      </w:pPr>
      <w:r>
        <w:rPr/>
      </w:r>
    </w:p>
    <w:p>
      <w:pPr>
        <w:pStyle w:val="Normal"/>
        <w:keepNext w:val="false"/>
        <w:snapToGrid w:val="false"/>
        <w:spacing w:before="0" w:after="100"/>
        <w:rPr/>
      </w:pPr>
      <w:r>
        <w:rPr>
          <w:b w:val="false"/>
        </w:rPr>
        <w:t>综合指标解读  【分别说明三项指标的含义、可靠程度与本次适用范围】</w:t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健康分与失衡分分别定义，未必互为补数；模型肠龄是模型输出。量尺、验证或适用性不足时显示“未启用”，不填造分值。</w:t>
      </w:r>
    </w:p>
    <w:sectPr>
      <w:footerReference w:type="even" r:id="rId11"/>
      <w:footerReference w:type="default" r:id="rId12"/>
      <w:footerReference w:type="first" r:id="rId13"/>
      <w:type w:val="nextPage"/>
      <w:pgSz w:w="12240" w:h="15840"/>
      <w:pgMar w:left="1037" w:right="1037" w:gutter="0" w:header="0" w:top="907" w:footer="36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Noto Sans CJK SC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color w:val="6B7280"/>
        <w:sz w:val="16"/>
      </w:rPr>
      <w:t xml:space="preserve">肠道菌群宏基因组分析报告  </w:t>
    </w:r>
    <w:r>
      <w:rPr>
        <w:color w:val="6B7280"/>
        <w:sz w:val="16"/>
      </w:rPr>
      <w:t xml:space="preserve">|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color w:val="6B7280"/>
        <w:sz w:val="16"/>
      </w:rPr>
      <w:t xml:space="preserve">肠道菌群宏基因组分析报告  </w:t>
    </w:r>
    <w:r>
      <w:rPr>
        <w:color w:val="6B7280"/>
        <w:sz w:val="16"/>
      </w:rPr>
      <w:t xml:space="preserve">|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52" w:before="0" w:after="100"/>
      <w:jc w:val="left"/>
    </w:pPr>
    <w:rPr>
      <w:rFonts w:ascii="Noto Sans CJK SC" w:hAnsi="Noto Sans CJK SC" w:eastAsia="Noto Sans CJK SC" w:cs=""/>
      <w:color w:val="000000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60" w:after="14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20" w:after="8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qFormat/>
    <w:pPr>
      <w:suppressLineNumbers/>
    </w:pPr>
    <w:rPr>
      <w:rFonts w:cs="Noto Sans CJK SC"/>
    </w:rPr>
  </w:style>
  <w:style w:type="paragraph" w:styleId="Style7">
    <w:name w:val="页眉与页脚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120"/>
      <w:contextualSpacing/>
    </w:pPr>
    <w:rPr>
      <w:rFonts w:ascii="Calibri" w:hAnsi="Calibri" w:eastAsia="" w:cs="" w:asciiTheme="majorHAnsi" w:cstheme="majorBidi" w:eastAsiaTheme="majorEastAsia" w:hAnsiTheme="majorHAnsi"/>
      <w:color w:val="000000"/>
      <w:spacing w:val="5"/>
      <w:kern w:val="2"/>
      <w:sz w:val="4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chart" Target="charts/chart4.xml"/><Relationship Id="rId6" Type="http://schemas.openxmlformats.org/officeDocument/2006/relationships/chart" Target="charts/chart5.xml"/><Relationship Id="rId7" Type="http://schemas.openxmlformats.org/officeDocument/2006/relationships/chart" Target="charts/chart6.xml"/><Relationship Id="rId8" Type="http://schemas.openxmlformats.org/officeDocument/2006/relationships/chart" Target="charts/chart7.xml"/><Relationship Id="rId9" Type="http://schemas.openxmlformats.org/officeDocument/2006/relationships/chart" Target="charts/chart8.xml"/><Relationship Id="rId10" Type="http://schemas.openxmlformats.org/officeDocument/2006/relationships/chart" Target="charts/chart9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charts/_rels/chart1.xml.rels><?xml version="1.0" encoding="UTF-8"?>
<Relationships xmlns="http://schemas.openxmlformats.org/package/2006/relationships"><Relationship Id="rId1" Type="http://schemas.openxmlformats.org/officeDocument/2006/relationships/package" Target="../embeddings/ChartData1.xlsx"/>
</Relationships>
</file>

<file path=word/charts/_rels/chart2.xml.rels><?xml version="1.0" encoding="UTF-8"?>
<Relationships xmlns="http://schemas.openxmlformats.org/package/2006/relationships"><Relationship Id="rId1" Type="http://schemas.openxmlformats.org/officeDocument/2006/relationships/package" Target="../embeddings/ChartData2.xlsx"/>
</Relationships>
</file>

<file path=word/charts/_rels/chart3.xml.rels><?xml version="1.0" encoding="UTF-8"?>
<Relationships xmlns="http://schemas.openxmlformats.org/package/2006/relationships"><Relationship Id="rId1" Type="http://schemas.openxmlformats.org/officeDocument/2006/relationships/package" Target="../embeddings/ChartData3.xlsx"/>
</Relationships>
</file>

<file path=word/charts/_rels/chart4.xml.rels><?xml version="1.0" encoding="UTF-8"?>
<Relationships xmlns="http://schemas.openxmlformats.org/package/2006/relationships"><Relationship Id="rId1" Type="http://schemas.openxmlformats.org/officeDocument/2006/relationships/package" Target="../embeddings/ChartData4.xlsx"/>
</Relationships>
</file>

<file path=word/charts/_rels/chart5.xml.rels><?xml version="1.0" encoding="UTF-8"?>
<Relationships xmlns="http://schemas.openxmlformats.org/package/2006/relationships"><Relationship Id="rId1" Type="http://schemas.openxmlformats.org/officeDocument/2006/relationships/package" Target="../embeddings/ChartData5.xlsx"/>
</Relationships>
</file>

<file path=word/charts/_rels/chart6.xml.rels><?xml version="1.0" encoding="UTF-8"?>
<Relationships xmlns="http://schemas.openxmlformats.org/package/2006/relationships"><Relationship Id="rId1" Type="http://schemas.openxmlformats.org/officeDocument/2006/relationships/package" Target="../embeddings/ChartData6.xlsx"/>
</Relationships>
</file>

<file path=word/charts/_rels/chart7.xml.rels><?xml version="1.0" encoding="UTF-8"?>
<Relationships xmlns="http://schemas.openxmlformats.org/package/2006/relationships"><Relationship Id="rId1" Type="http://schemas.openxmlformats.org/officeDocument/2006/relationships/package" Target="../embeddings/ChartData7.xlsx"/>
</Relationships>
</file>

<file path=word/charts/_rels/chart8.xml.rels><?xml version="1.0" encoding="UTF-8"?>
<Relationships xmlns="http://schemas.openxmlformats.org/package/2006/relationships"><Relationship Id="rId1" Type="http://schemas.openxmlformats.org/officeDocument/2006/relationships/package" Target="../embeddings/ChartData8.xlsx"/>
</Relationships>
</file>

<file path=word/charts/_rels/chart9.xml.rels><?xml version="1.0" encoding="UTF-8"?>
<Relationships xmlns="http://schemas.openxmlformats.org/package/2006/relationships"><Relationship Id="rId1" Type="http://schemas.openxmlformats.org/officeDocument/2006/relationships/package" Target="../embeddings/ChartData9.xlsx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barChart>
        <c:barDir val="bar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【本次结果】</c:v>
                </c:pt>
              </c:strCache>
            </c:strRef>
          </c:tx>
          <c:spPr>
            <a:solidFill>
              <a:srgbClr val="246a73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β-内酰胺类</c:v>
                </c:pt>
                <c:pt idx="1">
                  <c:v>氨基糖苷类</c:v>
                </c:pt>
                <c:pt idx="2">
                  <c:v>四环素类</c:v>
                </c:pt>
                <c:pt idx="3">
                  <c:v>大环内酯类</c:v>
                </c:pt>
                <c:pt idx="4">
                  <c:v>【其他类别】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70</c:v>
                </c:pt>
                <c:pt idx="1">
                  <c:v>50</c:v>
                </c:pt>
                <c:pt idx="2">
                  <c:v>60</c:v>
                </c:pt>
                <c:pt idx="3">
                  <c:v>40</c:v>
                </c:pt>
                <c:pt idx="4">
                  <c:v>55</c:v>
                </c:pt>
              </c:numCache>
            </c:numRef>
          </c:val>
        </c:ser>
        <c:gapWidth val="75"/>
        <c:overlap val="0"/>
        <c:axId val="62718705"/>
        <c:axId val="20432475"/>
      </c:barChart>
      <c:catAx>
        <c:axId val="62718705"/>
        <c:scaling>
          <c:orientation val="maxMin"/>
        </c:scaling>
        <c:delete val="0"/>
        <c:axPos val="b"/>
        <c:numFmt formatCode="[$-804]yyyy/m/d" sourceLinked="1"/>
        <c:majorTickMark val="none"/>
        <c:minorTickMark val="none"/>
        <c:tickLblPos val="nextTo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20432475"/>
        <c:crosses val="autoZero"/>
        <c:auto val="1"/>
        <c:lblAlgn val="ctr"/>
        <c:lblOffset val="100"/>
        <c:noMultiLvlLbl val="0"/>
      </c:catAx>
      <c:valAx>
        <c:axId val="20432475"/>
        <c:scaling>
          <c:orientation val="minMax"/>
        </c:scaling>
        <c:delete val="0"/>
        <c:axPos val="l"/>
        <c:numFmt formatCode="0" sourceLinked="0"/>
        <c:majorTickMark val="none"/>
        <c:minorTickMark val="none"/>
        <c:tickLblPos val="none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62718705"/>
        <c:crosses val="autoZero"/>
        <c:crossBetween val="between"/>
      </c:valAx>
      <c:spPr>
        <a:noFill/>
        <a:ln w="0">
          <a:noFill/>
        </a:ln>
      </c:spPr>
    </c:plotArea>
    <c:plotVisOnly val="1"/>
    <c:dispBlanksAs val="gap"/>
  </c:chart>
  <c:spPr>
    <a:noFill/>
    <a:ln w="9000">
      <a:noFill/>
    </a:ln>
  </c:spPr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barChart>
        <c:barDir val="bar"/>
        <c:grouping val="percentStack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【成员A】</c:v>
                </c:pt>
              </c:strCache>
            </c:strRef>
          </c:tx>
          <c:spPr>
            <a:solidFill>
              <a:srgbClr val="246a73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古菌内部组成</c:v>
                </c:pt>
                <c:pt idx="1">
                  <c:v>真菌内部组成</c:v>
                </c:pt>
                <c:pt idx="2">
                  <c:v>DNA病毒内部组成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55</c:v>
                </c:pt>
                <c:pt idx="1">
                  <c:v>40</c:v>
                </c:pt>
                <c:pt idx="2">
                  <c:v>30</c:v>
                </c:pt>
              </c:numCache>
            </c:numRef>
          </c:val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【成员B】</c:v>
                </c:pt>
              </c:strCache>
            </c:strRef>
          </c:tx>
          <c:spPr>
            <a:solidFill>
              <a:srgbClr val="4a86a4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古菌内部组成</c:v>
                </c:pt>
                <c:pt idx="1">
                  <c:v>真菌内部组成</c:v>
                </c:pt>
                <c:pt idx="2">
                  <c:v>DNA病毒内部组成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3"/>
                <c:pt idx="0">
                  <c:v>25</c:v>
                </c:pt>
                <c:pt idx="1">
                  <c:v>35</c:v>
                </c:pt>
                <c:pt idx="2">
                  <c:v>45</c:v>
                </c:pt>
              </c:numCache>
            </c:numRef>
          </c:val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【其余成员】</c:v>
                </c:pt>
              </c:strCache>
            </c:strRef>
          </c:tx>
          <c:spPr>
            <a:solidFill>
              <a:srgbClr val="8ab8c2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古菌内部组成</c:v>
                </c:pt>
                <c:pt idx="1">
                  <c:v>真菌内部组成</c:v>
                </c:pt>
                <c:pt idx="2">
                  <c:v>DNA病毒内部组成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3"/>
                <c:pt idx="0">
                  <c:v>20</c:v>
                </c:pt>
                <c:pt idx="1">
                  <c:v>25</c:v>
                </c:pt>
                <c:pt idx="2">
                  <c:v>25</c:v>
                </c:pt>
              </c:numCache>
            </c:numRef>
          </c:val>
        </c:ser>
        <c:gapWidth val="65"/>
        <c:overlap val="100"/>
        <c:axId val="50139798"/>
        <c:axId val="84457372"/>
      </c:barChart>
      <c:catAx>
        <c:axId val="50139798"/>
        <c:scaling>
          <c:orientation val="maxMin"/>
        </c:scaling>
        <c:delete val="0"/>
        <c:axPos val="b"/>
        <c:numFmt formatCode="[$-804]yyyy/m/d" sourceLinked="1"/>
        <c:majorTickMark val="none"/>
        <c:minorTickMark val="none"/>
        <c:tickLblPos val="nextTo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84457372"/>
        <c:crosses val="autoZero"/>
        <c:auto val="1"/>
        <c:lblAlgn val="ctr"/>
        <c:lblOffset val="100"/>
        <c:noMultiLvlLbl val="0"/>
      </c:catAx>
      <c:valAx>
        <c:axId val="84457372"/>
        <c:scaling>
          <c:orientation val="minMax"/>
        </c:scaling>
        <c:delete val="0"/>
        <c:axPos val="l"/>
        <c:numFmt formatCode="0" sourceLinked="0"/>
        <c:majorTickMark val="none"/>
        <c:minorTickMark val="none"/>
        <c:tickLblPos val="none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50139798"/>
        <c:crosses val="autoZero"/>
        <c:crossBetween val="between"/>
      </c:valAx>
      <c:spPr>
        <a:noFill/>
        <a:ln w="0">
          <a:noFill/>
        </a:ln>
      </c:spPr>
    </c:plotArea>
    <c:legend>
      <c:legendPos val="b"/>
      <c:overlay val="0"/>
      <c:spPr>
        <a:noFill/>
        <a:ln w="0">
          <a:noFill/>
        </a:ln>
      </c:spPr>
      <c:txPr>
        <a:bodyPr/>
        <a:lstStyle/>
        <a:p>
          <a:pPr>
            <a:defRPr b="0" sz="900" spc="-1" strike="noStrike">
              <a:solidFill>
                <a:srgbClr val="30343a"/>
              </a:solidFill>
              <a:latin typeface="Noto Sans CJK SC"/>
            </a:defRPr>
          </a:pPr>
        </a:p>
      </c:txPr>
    </c:legend>
    <c:plotVisOnly val="1"/>
    <c:dispBlanksAs val="gap"/>
  </c:chart>
  <c:spPr>
    <a:noFill/>
    <a:ln w="9000">
      <a:noFill/>
    </a:ln>
  </c:spPr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barChart>
        <c:barDir val="bar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【本次结果】</c:v>
                </c:pt>
              </c:strCache>
            </c:strRef>
          </c:tx>
          <c:spPr>
            <a:solidFill>
              <a:srgbClr val="246a73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抗性淀粉</c:v>
                </c:pt>
                <c:pt idx="1">
                  <c:v>果胶</c:v>
                </c:pt>
                <c:pt idx="2">
                  <c:v>菊粉</c:v>
                </c:pt>
                <c:pt idx="3">
                  <c:v>木聚糖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70</c:v>
                </c:pt>
                <c:pt idx="1">
                  <c:v>50</c:v>
                </c:pt>
                <c:pt idx="2">
                  <c:v>60</c:v>
                </c:pt>
                <c:pt idx="3">
                  <c:v>40</c:v>
                </c:pt>
              </c:numCache>
            </c:numRef>
          </c:val>
        </c:ser>
        <c:gapWidth val="75"/>
        <c:overlap val="0"/>
        <c:axId val="62420781"/>
        <c:axId val="91049202"/>
      </c:barChart>
      <c:catAx>
        <c:axId val="62420781"/>
        <c:scaling>
          <c:orientation val="maxMin"/>
        </c:scaling>
        <c:delete val="0"/>
        <c:axPos val="b"/>
        <c:numFmt formatCode="[$-804]yyyy/m/d" sourceLinked="1"/>
        <c:majorTickMark val="none"/>
        <c:minorTickMark val="none"/>
        <c:tickLblPos val="nextTo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91049202"/>
        <c:crosses val="autoZero"/>
        <c:auto val="1"/>
        <c:lblAlgn val="ctr"/>
        <c:lblOffset val="100"/>
        <c:noMultiLvlLbl val="0"/>
      </c:catAx>
      <c:valAx>
        <c:axId val="91049202"/>
        <c:scaling>
          <c:orientation val="minMax"/>
        </c:scaling>
        <c:delete val="0"/>
        <c:axPos val="l"/>
        <c:numFmt formatCode="0" sourceLinked="0"/>
        <c:majorTickMark val="none"/>
        <c:minorTickMark val="none"/>
        <c:tickLblPos val="none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62420781"/>
        <c:crosses val="autoZero"/>
        <c:crossBetween val="between"/>
      </c:valAx>
      <c:spPr>
        <a:noFill/>
        <a:ln w="0">
          <a:noFill/>
        </a:ln>
      </c:spPr>
    </c:plotArea>
    <c:plotVisOnly val="1"/>
    <c:dispBlanksAs val="gap"/>
  </c:chart>
  <c:spPr>
    <a:noFill/>
    <a:ln w="9000">
      <a:noFill/>
    </a:ln>
  </c:spPr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barChart>
        <c:barDir val="bar"/>
        <c:grouping val="percentStack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【路径A】</c:v>
                </c:pt>
              </c:strCache>
            </c:strRef>
          </c:tx>
          <c:spPr>
            <a:solidFill>
              <a:srgbClr val="246a73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乙酸生成</c:v>
                </c:pt>
                <c:pt idx="1">
                  <c:v>丙酸生成</c:v>
                </c:pt>
                <c:pt idx="2">
                  <c:v>丁酸生成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55</c:v>
                </c:pt>
                <c:pt idx="1">
                  <c:v>30</c:v>
                </c:pt>
                <c:pt idx="2">
                  <c:v>25</c:v>
                </c:pt>
              </c:numCache>
            </c:numRef>
          </c:val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【路径B】</c:v>
                </c:pt>
              </c:strCache>
            </c:strRef>
          </c:tx>
          <c:spPr>
            <a:solidFill>
              <a:srgbClr val="4a86a4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乙酸生成</c:v>
                </c:pt>
                <c:pt idx="1">
                  <c:v>丙酸生成</c:v>
                </c:pt>
                <c:pt idx="2">
                  <c:v>丁酸生成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3"/>
                <c:pt idx="0">
                  <c:v>25</c:v>
                </c:pt>
                <c:pt idx="1">
                  <c:v>45</c:v>
                </c:pt>
                <c:pt idx="2">
                  <c:v>40</c:v>
                </c:pt>
              </c:numCache>
            </c:numRef>
          </c:val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【其他路径】</c:v>
                </c:pt>
              </c:strCache>
            </c:strRef>
          </c:tx>
          <c:spPr>
            <a:solidFill>
              <a:srgbClr val="8ab8c2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乙酸生成</c:v>
                </c:pt>
                <c:pt idx="1">
                  <c:v>丙酸生成</c:v>
                </c:pt>
                <c:pt idx="2">
                  <c:v>丁酸生成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3"/>
                <c:pt idx="0">
                  <c:v>20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</c:ser>
        <c:gapWidth val="65"/>
        <c:overlap val="100"/>
        <c:axId val="35662859"/>
        <c:axId val="48351363"/>
      </c:barChart>
      <c:catAx>
        <c:axId val="35662859"/>
        <c:scaling>
          <c:orientation val="maxMin"/>
        </c:scaling>
        <c:delete val="0"/>
        <c:axPos val="b"/>
        <c:numFmt formatCode="[$-804]yyyy/m/d" sourceLinked="1"/>
        <c:majorTickMark val="none"/>
        <c:minorTickMark val="none"/>
        <c:tickLblPos val="nextTo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48351363"/>
        <c:crosses val="autoZero"/>
        <c:auto val="1"/>
        <c:lblAlgn val="ctr"/>
        <c:lblOffset val="100"/>
        <c:noMultiLvlLbl val="0"/>
      </c:catAx>
      <c:valAx>
        <c:axId val="48351363"/>
        <c:scaling>
          <c:orientation val="minMax"/>
        </c:scaling>
        <c:delete val="0"/>
        <c:axPos val="l"/>
        <c:numFmt formatCode="0" sourceLinked="0"/>
        <c:majorTickMark val="none"/>
        <c:minorTickMark val="none"/>
        <c:tickLblPos val="none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35662859"/>
        <c:crosses val="autoZero"/>
        <c:crossBetween val="between"/>
      </c:valAx>
      <c:spPr>
        <a:noFill/>
        <a:ln w="0">
          <a:noFill/>
        </a:ln>
      </c:spPr>
    </c:plotArea>
    <c:legend>
      <c:legendPos val="b"/>
      <c:overlay val="0"/>
      <c:spPr>
        <a:noFill/>
        <a:ln w="0">
          <a:noFill/>
        </a:ln>
      </c:spPr>
      <c:txPr>
        <a:bodyPr/>
        <a:lstStyle/>
        <a:p>
          <a:pPr>
            <a:defRPr b="0" sz="900" spc="-1" strike="noStrike">
              <a:solidFill>
                <a:srgbClr val="30343a"/>
              </a:solidFill>
              <a:latin typeface="Noto Sans CJK SC"/>
            </a:defRPr>
          </a:pPr>
        </a:p>
      </c:txPr>
    </c:legend>
    <c:plotVisOnly val="1"/>
    <c:dispBlanksAs val="gap"/>
  </c:chart>
  <c:spPr>
    <a:noFill/>
    <a:ln w="9000">
      <a:noFill/>
    </a:ln>
  </c:spPr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barChart>
        <c:barDir val="bar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生成相关功能</c:v>
                </c:pt>
              </c:strCache>
            </c:strRef>
          </c:tx>
          <c:spPr>
            <a:solidFill>
              <a:srgbClr val="246a73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对甲酚</c:v>
                </c:pt>
                <c:pt idx="1">
                  <c:v>组胺</c:v>
                </c:pt>
                <c:pt idx="2">
                  <c:v>腐胺</c:v>
                </c:pt>
                <c:pt idx="3">
                  <c:v>尸胺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70</c:v>
                </c:pt>
                <c:pt idx="1">
                  <c:v>50</c:v>
                </c:pt>
                <c:pt idx="2">
                  <c:v>60</c:v>
                </c:pt>
                <c:pt idx="3">
                  <c:v>45</c:v>
                </c:pt>
              </c:numCache>
            </c:numRef>
          </c:val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利用相关功能</c:v>
                </c:pt>
              </c:strCache>
            </c:strRef>
          </c:tx>
          <c:spPr>
            <a:solidFill>
              <a:srgbClr val="8ab8c2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对甲酚</c:v>
                </c:pt>
                <c:pt idx="1">
                  <c:v>组胺</c:v>
                </c:pt>
                <c:pt idx="2">
                  <c:v>腐胺</c:v>
                </c:pt>
                <c:pt idx="3">
                  <c:v>尸胺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4"/>
                <c:pt idx="0">
                  <c:v>45</c:v>
                </c:pt>
                <c:pt idx="1">
                  <c:v>65</c:v>
                </c:pt>
                <c:pt idx="2">
                  <c:v>40</c:v>
                </c:pt>
                <c:pt idx="3">
                  <c:v>55</c:v>
                </c:pt>
              </c:numCache>
            </c:numRef>
          </c:val>
        </c:ser>
        <c:gapWidth val="75"/>
        <c:overlap val="0"/>
        <c:axId val="67890276"/>
        <c:axId val="32475722"/>
      </c:barChart>
      <c:catAx>
        <c:axId val="67890276"/>
        <c:scaling>
          <c:orientation val="maxMin"/>
        </c:scaling>
        <c:delete val="0"/>
        <c:axPos val="b"/>
        <c:numFmt formatCode="[$-804]yyyy/m/d" sourceLinked="1"/>
        <c:majorTickMark val="none"/>
        <c:minorTickMark val="none"/>
        <c:tickLblPos val="nextTo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32475722"/>
        <c:crosses val="autoZero"/>
        <c:auto val="1"/>
        <c:lblAlgn val="ctr"/>
        <c:lblOffset val="100"/>
        <c:noMultiLvlLbl val="0"/>
      </c:catAx>
      <c:valAx>
        <c:axId val="32475722"/>
        <c:scaling>
          <c:orientation val="minMax"/>
        </c:scaling>
        <c:delete val="0"/>
        <c:axPos val="l"/>
        <c:numFmt formatCode="0" sourceLinked="0"/>
        <c:majorTickMark val="none"/>
        <c:minorTickMark val="none"/>
        <c:tickLblPos val="none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67890276"/>
        <c:crosses val="autoZero"/>
        <c:crossBetween val="between"/>
      </c:valAx>
      <c:spPr>
        <a:noFill/>
        <a:ln w="0">
          <a:noFill/>
        </a:ln>
      </c:spPr>
    </c:plotArea>
    <c:legend>
      <c:legendPos val="b"/>
      <c:overlay val="0"/>
      <c:spPr>
        <a:noFill/>
        <a:ln w="0">
          <a:noFill/>
        </a:ln>
      </c:spPr>
      <c:txPr>
        <a:bodyPr/>
        <a:lstStyle/>
        <a:p>
          <a:pPr>
            <a:defRPr b="0" sz="900" spc="-1" strike="noStrike">
              <a:solidFill>
                <a:srgbClr val="30343a"/>
              </a:solidFill>
              <a:latin typeface="Noto Sans CJK SC"/>
            </a:defRPr>
          </a:pPr>
        </a:p>
      </c:txPr>
    </c:legend>
    <c:plotVisOnly val="1"/>
    <c:dispBlanksAs val="gap"/>
  </c:chart>
  <c:spPr>
    <a:noFill/>
    <a:ln w="9000">
      <a:noFill/>
    </a:ln>
  </c:spPr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barChart>
        <c:barDir val="bar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【本次结果】</c:v>
                </c:pt>
              </c:strCache>
            </c:strRef>
          </c:tx>
          <c:spPr>
            <a:solidFill>
              <a:srgbClr val="246a73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产氢相关功能</c:v>
                </c:pt>
                <c:pt idx="1">
                  <c:v>耗氢相关功能</c:v>
                </c:pt>
                <c:pt idx="2">
                  <c:v>产甲烷相关功能</c:v>
                </c:pt>
                <c:pt idx="3">
                  <c:v>硫化氢生成相关功能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70</c:v>
                </c:pt>
                <c:pt idx="1">
                  <c:v>50</c:v>
                </c:pt>
                <c:pt idx="2">
                  <c:v>60</c:v>
                </c:pt>
                <c:pt idx="3">
                  <c:v>40</c:v>
                </c:pt>
              </c:numCache>
            </c:numRef>
          </c:val>
        </c:ser>
        <c:gapWidth val="75"/>
        <c:overlap val="0"/>
        <c:axId val="92842403"/>
        <c:axId val="58033207"/>
      </c:barChart>
      <c:catAx>
        <c:axId val="92842403"/>
        <c:scaling>
          <c:orientation val="maxMin"/>
        </c:scaling>
        <c:delete val="0"/>
        <c:axPos val="b"/>
        <c:numFmt formatCode="[$-804]yyyy/m/d" sourceLinked="1"/>
        <c:majorTickMark val="none"/>
        <c:minorTickMark val="none"/>
        <c:tickLblPos val="nextTo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58033207"/>
        <c:crosses val="autoZero"/>
        <c:auto val="1"/>
        <c:lblAlgn val="ctr"/>
        <c:lblOffset val="100"/>
        <c:noMultiLvlLbl val="0"/>
      </c:catAx>
      <c:valAx>
        <c:axId val="58033207"/>
        <c:scaling>
          <c:orientation val="minMax"/>
        </c:scaling>
        <c:delete val="0"/>
        <c:axPos val="l"/>
        <c:numFmt formatCode="0" sourceLinked="0"/>
        <c:majorTickMark val="none"/>
        <c:minorTickMark val="none"/>
        <c:tickLblPos val="none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92842403"/>
        <c:crosses val="autoZero"/>
        <c:crossBetween val="between"/>
      </c:valAx>
      <c:spPr>
        <a:noFill/>
        <a:ln w="0">
          <a:noFill/>
        </a:ln>
      </c:spPr>
    </c:plotArea>
    <c:plotVisOnly val="1"/>
    <c:dispBlanksAs val="gap"/>
  </c:chart>
  <c:spPr>
    <a:noFill/>
    <a:ln w="9000">
      <a:noFill/>
    </a:ln>
  </c:spPr>
  <c:externalData r:id="rId1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barChart>
        <c:barDir val="bar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生成相关功能</c:v>
                </c:pt>
              </c:strCache>
            </c:strRef>
          </c:tx>
          <c:spPr>
            <a:solidFill>
              <a:srgbClr val="246a73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GABA相关功能</c:v>
                </c:pt>
                <c:pt idx="1">
                  <c:v>【分子或路径B】</c:v>
                </c:pt>
                <c:pt idx="2">
                  <c:v>【分子或路径C】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70</c:v>
                </c:pt>
                <c:pt idx="1">
                  <c:v>45</c:v>
                </c:pt>
                <c:pt idx="2">
                  <c:v>60</c:v>
                </c:pt>
              </c:numCache>
            </c:numRef>
          </c:val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降解相关功能</c:v>
                </c:pt>
              </c:strCache>
            </c:strRef>
          </c:tx>
          <c:spPr>
            <a:solidFill>
              <a:srgbClr val="8ab8c2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GABA相关功能</c:v>
                </c:pt>
                <c:pt idx="1">
                  <c:v>【分子或路径B】</c:v>
                </c:pt>
                <c:pt idx="2">
                  <c:v>【分子或路径C】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3"/>
                <c:pt idx="0">
                  <c:v>50</c:v>
                </c:pt>
                <c:pt idx="1">
                  <c:v>65</c:v>
                </c:pt>
                <c:pt idx="2">
                  <c:v>40</c:v>
                </c:pt>
              </c:numCache>
            </c:numRef>
          </c:val>
        </c:ser>
        <c:gapWidth val="75"/>
        <c:overlap val="0"/>
        <c:axId val="10093573"/>
        <c:axId val="44700326"/>
      </c:barChart>
      <c:catAx>
        <c:axId val="10093573"/>
        <c:scaling>
          <c:orientation val="maxMin"/>
        </c:scaling>
        <c:delete val="0"/>
        <c:axPos val="b"/>
        <c:numFmt formatCode="[$-804]yyyy/m/d" sourceLinked="1"/>
        <c:majorTickMark val="none"/>
        <c:minorTickMark val="none"/>
        <c:tickLblPos val="nextTo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44700326"/>
        <c:crosses val="autoZero"/>
        <c:auto val="1"/>
        <c:lblAlgn val="ctr"/>
        <c:lblOffset val="100"/>
        <c:noMultiLvlLbl val="0"/>
      </c:catAx>
      <c:valAx>
        <c:axId val="44700326"/>
        <c:scaling>
          <c:orientation val="minMax"/>
        </c:scaling>
        <c:delete val="0"/>
        <c:axPos val="l"/>
        <c:numFmt formatCode="0" sourceLinked="0"/>
        <c:majorTickMark val="none"/>
        <c:minorTickMark val="none"/>
        <c:tickLblPos val="none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10093573"/>
        <c:crosses val="autoZero"/>
        <c:crossBetween val="between"/>
      </c:valAx>
      <c:spPr>
        <a:noFill/>
        <a:ln w="0">
          <a:noFill/>
        </a:ln>
      </c:spPr>
    </c:plotArea>
    <c:legend>
      <c:legendPos val="b"/>
      <c:overlay val="0"/>
      <c:spPr>
        <a:noFill/>
        <a:ln w="0">
          <a:noFill/>
        </a:ln>
      </c:spPr>
      <c:txPr>
        <a:bodyPr/>
        <a:lstStyle/>
        <a:p>
          <a:pPr>
            <a:defRPr b="0" sz="900" spc="-1" strike="noStrike">
              <a:solidFill>
                <a:srgbClr val="30343a"/>
              </a:solidFill>
              <a:latin typeface="Noto Sans CJK SC"/>
            </a:defRPr>
          </a:pPr>
        </a:p>
      </c:txPr>
    </c:legend>
    <c:plotVisOnly val="1"/>
    <c:dispBlanksAs val="gap"/>
  </c:chart>
  <c:spPr>
    <a:noFill/>
    <a:ln w="9000">
      <a:noFill/>
    </a:ln>
  </c:spPr>
  <c:externalData r:id="rId1"/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doughnut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核心菌群覆盖</c:v>
                </c:pt>
              </c:strCache>
            </c:strRef>
          </c:tx>
          <c:spPr>
            <a:solidFill>
              <a:srgbClr val="4f81bd"/>
            </a:solidFill>
            <a:ln w="0">
              <a:noFill/>
            </a:ln>
          </c:spPr>
          <c:explosion val="0"/>
          <c:dPt>
            <c:idx val="0"/>
            <c:spPr>
              <a:solidFill>
                <a:srgbClr val="246a73"/>
              </a:solidFill>
              <a:ln w="9000">
                <a:noFill/>
              </a:ln>
            </c:spPr>
          </c:dPt>
          <c:dPt>
            <c:idx val="1"/>
            <c:spPr>
              <a:solidFill>
                <a:srgbClr val="e7e9ec"/>
              </a:solidFill>
              <a:ln w="9000">
                <a:noFill/>
              </a:ln>
            </c:spPr>
          </c:dPt>
          <c:dLbls>
            <c:dLbl>
              <c:idx val="0"/>
              <c:txPr>
                <a:bodyPr wrap="none"/>
                <a:lstStyle/>
                <a:p>
                  <a:pPr>
                    <a:defRPr b="0" sz="1000" spc="-1" strike="noStrike"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1"/>
              <c:txPr>
                <a:bodyPr wrap="none"/>
                <a:lstStyle/>
                <a:p>
                  <a:pPr>
                    <a:defRPr b="0" sz="1000" spc="-1" strike="noStrike"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</c:dLbls>
          <c:cat>
            <c:strRef>
              <c:f>categories</c:f>
              <c:strCache>
                <c:ptCount val="2"/>
                <c:pt idx="0">
                  <c:v>得分占位</c:v>
                </c:pt>
                <c:pt idx="1">
                  <c:v>其余量尺占位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2"/>
                <c:pt idx="0">
                  <c:v>50</c:v>
                </c:pt>
                <c:pt idx="1">
                  <c:v>50</c:v>
                </c:pt>
              </c:numCache>
            </c:numRef>
          </c:val>
        </c:ser>
        <c:firstSliceAng val="270"/>
        <c:holeSize val="50"/>
      </c:doughnutChart>
      <c:spPr>
        <a:noFill/>
        <a:ln w="0">
          <a:noFill/>
        </a:ln>
      </c:spPr>
    </c:plotArea>
    <c:plotVisOnly val="1"/>
    <c:dispBlanksAs val="gap"/>
  </c:chart>
  <c:spPr>
    <a:noFill/>
    <a:ln w="9000">
      <a:noFill/>
    </a:ln>
  </c:spPr>
  <c:externalData r:id="rId1"/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doughnut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核心菌群覆盖</c:v>
                </c:pt>
              </c:strCache>
            </c:strRef>
          </c:tx>
          <c:spPr>
            <a:solidFill>
              <a:srgbClr val="4f81bd"/>
            </a:solidFill>
            <a:ln w="0">
              <a:noFill/>
            </a:ln>
          </c:spPr>
          <c:explosion val="0"/>
          <c:dPt>
            <c:idx val="0"/>
            <c:spPr>
              <a:solidFill>
                <a:srgbClr val="246a73"/>
              </a:solidFill>
              <a:ln w="9000">
                <a:noFill/>
              </a:ln>
            </c:spPr>
          </c:dPt>
          <c:dPt>
            <c:idx val="1"/>
            <c:spPr>
              <a:solidFill>
                <a:srgbClr val="e7e9ec"/>
              </a:solidFill>
              <a:ln w="9000">
                <a:noFill/>
              </a:ln>
            </c:spPr>
          </c:dPt>
          <c:dLbls>
            <c:dLbl>
              <c:idx val="0"/>
              <c:txPr>
                <a:bodyPr wrap="none"/>
                <a:lstStyle/>
                <a:p>
                  <a:pPr>
                    <a:defRPr b="0" sz="1000" spc="-1" strike="noStrike"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1"/>
              <c:txPr>
                <a:bodyPr wrap="none"/>
                <a:lstStyle/>
                <a:p>
                  <a:pPr>
                    <a:defRPr b="0" sz="1000" spc="-1" strike="noStrike"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</c:dLbls>
          <c:cat>
            <c:strRef>
              <c:f>categories</c:f>
              <c:strCache>
                <c:ptCount val="2"/>
                <c:pt idx="0">
                  <c:v>得分占位</c:v>
                </c:pt>
                <c:pt idx="1">
                  <c:v>其余量尺占位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2"/>
                <c:pt idx="0">
                  <c:v>50</c:v>
                </c:pt>
                <c:pt idx="1">
                  <c:v>50</c:v>
                </c:pt>
              </c:numCache>
            </c:numRef>
          </c:val>
        </c:ser>
        <c:firstSliceAng val="270"/>
        <c:holeSize val="50"/>
      </c:doughnutChart>
      <c:spPr>
        <a:noFill/>
        <a:ln w="0">
          <a:noFill/>
        </a:ln>
      </c:spPr>
    </c:plotArea>
    <c:plotVisOnly val="1"/>
    <c:dispBlanksAs val="gap"/>
  </c:chart>
  <c:spPr>
    <a:noFill/>
    <a:ln w="9000">
      <a:noFill/>
    </a:ln>
  </c:spPr>
  <c:externalData r:id="rId1"/>
</c:chartSpace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28</Pages>
  <Words>6629</Words>
  <Characters>6869</Characters>
  <CharactersWithSpaces>7194</CharactersWithSpaces>
  <Paragraphs>741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dc:language>zh-CN</dc:language>
  <cp:lastModifiedBy/>
  <dcterms:modified xsi:type="dcterms:W3CDTF">2026-10-23T11:14:26Z</dcterms:modified>
  <cp:revision>2</cp:revision>
  <dc:subject>调整目录后的第06至16章可编辑正文模板</dc:subject>
  <dc:title>肠道菌群宏基因组分析报告正文模板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