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jc w:val="center"/>
      </w:pPr>
      <w:r>
        <w:drawing>
          <wp:inline xmlns:a="http://schemas.openxmlformats.org/drawingml/2006/main" xmlns:pic="http://schemas.openxmlformats.org/drawingml/2006/picture">
            <wp:extent cx="1691640" cy="1691640"/>
            <wp:docPr id="1" name="Picture 1"/>
            <wp:cNvGraphicFramePr>
              <a:graphicFrameLocks noChangeAspect="1"/>
            </wp:cNvGraphicFramePr>
            <a:graphic>
              <a:graphicData uri="http://schemas.openxmlformats.org/drawingml/2006/picture">
                <pic:pic>
                  <pic:nvPicPr>
                    <pic:cNvPr id="0" name="DatumX-removebg-preview.png"/>
                    <pic:cNvPicPr/>
                  </pic:nvPicPr>
                  <pic:blipFill>
                    <a:blip r:embed="rId9"/>
                    <a:stretch>
                      <a:fillRect/>
                    </a:stretch>
                  </pic:blipFill>
                  <pic:spPr>
                    <a:xfrm>
                      <a:off x="0" y="0"/>
                      <a:ext cx="1691640" cy="1691640"/>
                    </a:xfrm>
                    <a:prstGeom prst="rect"/>
                  </pic:spPr>
                </pic:pic>
              </a:graphicData>
            </a:graphic>
          </wp:inline>
        </w:drawing>
      </w:r>
    </w:p>
    <w:p>
      <w:pPr>
        <w:pStyle w:val="DatumXLabel"/>
        <w:jc w:val="center"/>
      </w:pPr>
      <w:r>
        <w:rPr>
          <w:rFonts w:ascii="Aptos" w:hAnsi="Aptos"/>
          <w:b/>
          <w:i w:val="0"/>
          <w:color w:val="756140"/>
          <w:sz w:val="18"/>
        </w:rPr>
        <w:t>PROTOCOL DOSSIER</w:t>
      </w:r>
    </w:p>
    <w:p>
      <w:pPr>
        <w:spacing w:before="840" w:after="240" w:line="245" w:lineRule="auto"/>
        <w:jc w:val="center"/>
      </w:pPr>
      <w:r>
        <w:rPr>
          <w:rFonts w:ascii="Aptos Display" w:hAnsi="Aptos Display"/>
          <w:b/>
          <w:i w:val="0"/>
          <w:color w:val="212429"/>
          <w:sz w:val="48"/>
        </w:rPr>
        <w:t>DatumX - Verifying AI-Transformed Exploration Data with On-Chain Provenance and Consensus Validation</w:t>
      </w:r>
    </w:p>
    <w:p>
      <w:pPr>
        <w:spacing w:before="0" w:after="360" w:line="276" w:lineRule="auto"/>
        <w:jc w:val="center"/>
      </w:pPr>
      <w:r>
        <w:rPr>
          <w:rFonts w:ascii="Georgia" w:hAnsi="Georgia"/>
          <w:b w:val="0"/>
          <w:i/>
          <w:color w:val="595F66"/>
          <w:sz w:val="24"/>
        </w:rPr>
        <w:t>A technical case study on trusted transformed industrial datasets, canonical payload design, deterministic lineage, validator review, and XRPL EVM deployment realities.</w:t>
      </w:r>
    </w:p>
    <w:tbl>
      <w:tblPr>
        <w:tblW w:type="auto" w:w="0"/>
        <w:jc w:val="center"/>
        <w:tblLayout w:type="fixed"/>
        <w:tblLook w:firstColumn="1" w:firstRow="1" w:lastColumn="0" w:lastRow="0" w:noHBand="0" w:noVBand="1" w:val="04A0"/>
      </w:tblPr>
      <w:tblGrid>
        <w:gridCol w:w="5472"/>
      </w:tblGrid>
      <w:tr>
        <w:tc>
          <w:tcPr>
            <w:tcW w:type="dxa" w:w="9504"/>
            <w:shd w:fill="F8F4EC"/>
            <w:tcBorders>
              <w:top w:val="single" w:sz="12" w:space="0" w:color="B99D72"/>
              <w:left w:val="single" w:sz="12" w:space="0" w:color="B99D72"/>
              <w:bottom w:val="single" w:sz="12" w:space="0" w:color="B99D72"/>
              <w:right w:val="single" w:sz="12" w:space="0" w:color="B99D72"/>
            </w:tcBorders>
            <w:vAlign w:val="center"/>
          </w:tcPr>
          <w:p>
            <w:pPr>
              <w:spacing w:before="100" w:after="100"/>
              <w:jc w:val="center"/>
            </w:pPr>
            <w:r>
              <w:rPr>
                <w:rFonts w:ascii="Aptos" w:hAnsi="Aptos"/>
                <w:b/>
                <w:i w:val="0"/>
                <w:color w:val="756140"/>
                <w:sz w:val="17"/>
              </w:rPr>
              <w:t>CANONICAL PAYLOADS | DETERMINISTIC LINEAGE | CONSENSUS VALIDATION</w:t>
            </w:r>
          </w:p>
        </w:tc>
      </w:tr>
    </w:tbl>
    <w:tbl>
      <w:tblPr>
        <w:tblW w:type="auto" w:w="0"/>
        <w:jc w:val="center"/>
        <w:tblLayout w:type="autofit"/>
        <w:tblLook w:firstColumn="1" w:firstRow="1" w:lastColumn="0" w:lastRow="0" w:noHBand="0" w:noVBand="1" w:val="04A0"/>
      </w:tblPr>
      <w:tblGrid>
        <w:gridCol w:w="9504"/>
      </w:tblGrid>
      <w:tr>
        <w:tc>
          <w:tcPr>
            <w:tcW w:type="dxa" w:w="9504"/>
            <w:shd w:fill="F2EDE3"/>
            <w:tcBorders>
              <w:top w:val="single" w:sz="10" w:space="0" w:color="C2B59B"/>
              <w:left w:val="single" w:sz="10" w:space="0" w:color="C2B59B"/>
              <w:bottom w:val="single" w:sz="10" w:space="0" w:color="C2B59B"/>
              <w:right w:val="single" w:sz="10" w:space="0" w:color="C2B59B"/>
            </w:tcBorders>
            <w:vAlign w:val="center"/>
          </w:tcPr>
          <w:p>
            <w:pPr>
              <w:spacing w:before="120" w:after="120"/>
              <w:jc w:val="center"/>
            </w:pPr>
            <w:r>
              <w:rPr>
                <w:rFonts w:ascii="Aptos" w:hAnsi="Aptos"/>
                <w:b/>
                <w:i w:val="0"/>
                <w:color w:val="212429"/>
                <w:sz w:val="21"/>
              </w:rPr>
              <w:t>DatumX Protocol | Built by ZRT | XRPL EVM Testnet</w:t>
            </w:r>
          </w:p>
        </w:tc>
      </w:tr>
    </w:tbl>
    <w:p>
      <w:pPr>
        <w:spacing w:before="440" w:after="0" w:line="288" w:lineRule="auto"/>
        <w:jc w:val="center"/>
      </w:pPr>
      <w:r>
        <w:rPr>
          <w:rFonts w:ascii="Georgia" w:hAnsi="Georgia"/>
          <w:b w:val="0"/>
          <w:i w:val="0"/>
          <w:color w:val="212429"/>
          <w:sz w:val="23"/>
        </w:rPr>
        <w:t>This document presents DatumX as infrastructure for proving that AI-transformed industrial releases are reviewable, traceable, and decision-worthy after multiple computational and human interventions.</w:t>
      </w:r>
    </w:p>
    <w:p>
      <w:pPr>
        <w:sectPr>
          <w:pgSz w:w="12240" w:h="15840"/>
          <w:pgMar w:top="1152" w:right="1368" w:bottom="1008" w:left="1368" w:header="720" w:footer="720" w:gutter="0"/>
          <w:cols w:space="720"/>
          <w:titlePg/>
          <w:docGrid w:linePitch="360"/>
        </w:sectPr>
      </w:pPr>
    </w:p>
    <w:p>
      <w:pPr>
        <w:pStyle w:val="DatumXLabel"/>
        <w:spacing w:before="160" w:after="60"/>
      </w:pPr>
      <w:r>
        <w:rPr>
          <w:rFonts w:ascii="Aptos" w:hAnsi="Aptos"/>
          <w:b/>
          <w:i w:val="0"/>
          <w:color w:val="756140"/>
          <w:sz w:val="18"/>
        </w:rPr>
        <w:t>BUILDER PROFILE</w:t>
      </w:r>
    </w:p>
    <w:p>
      <w:pPr>
        <w:spacing w:before="0" w:after="60"/>
      </w:pPr>
      <w:r>
        <w:rPr>
          <w:rFonts w:ascii="Aptos Display" w:hAnsi="Aptos Display"/>
          <w:b/>
          <w:i w:val="0"/>
          <w:color w:val="212429"/>
          <w:sz w:val="44"/>
        </w:rPr>
        <w:t>ZRT</w:t>
      </w:r>
    </w:p>
    <w:p>
      <w:pPr>
        <w:pStyle w:val="DatumXSmall"/>
        <w:spacing w:before="0" w:after="80"/>
      </w:pPr>
      <w:r>
        <w:rPr>
          <w:rFonts w:ascii="Aptos" w:hAnsi="Aptos"/>
          <w:b/>
          <w:i w:val="0"/>
          <w:color w:val="595F66"/>
          <w:sz w:val="21"/>
        </w:rPr>
        <w:t>Smart Contract Engineer | Blockchain Systems Engineer | Web3 Infrastructure Engineer</w:t>
      </w:r>
    </w:p>
    <w:p>
      <w:pPr>
        <w:pStyle w:val="DatumXSmall"/>
        <w:spacing w:before="0" w:after="280"/>
      </w:pPr>
      <w:r>
        <w:rPr>
          <w:rFonts w:ascii="Aptos" w:hAnsi="Aptos"/>
          <w:b w:val="0"/>
          <w:i w:val="0"/>
          <w:color w:val="595F66"/>
          <w:sz w:val="20"/>
        </w:rPr>
        <w:t>Canada AB | github.com/zrt219 | linkedin.com/in/zhane-grey-987258395</w:t>
      </w:r>
    </w:p>
    <w:p>
      <w:pPr>
        <w:pStyle w:val="DatumXLabel"/>
        <w:spacing w:before="0" w:after="80"/>
      </w:pPr>
      <w:r>
        <w:rPr>
          <w:rFonts w:ascii="Aptos" w:hAnsi="Aptos"/>
          <w:b/>
          <w:i w:val="0"/>
          <w:color w:val="756140"/>
          <w:sz w:val="18"/>
        </w:rPr>
        <w:t>SUMMARY</w:t>
      </w:r>
    </w:p>
    <w:tbl>
      <w:tblPr>
        <w:tblW w:type="auto" w:w="0"/>
        <w:jc w:val="left"/>
        <w:tblLayout w:type="autofit"/>
        <w:tblLook w:firstColumn="1" w:firstRow="1" w:lastColumn="0" w:lastRow="0" w:noHBand="0" w:noVBand="1" w:val="04A0"/>
      </w:tblPr>
      <w:tblGrid>
        <w:gridCol w:w="9504"/>
      </w:tblGrid>
      <w:tr>
        <w:tc>
          <w:tcPr>
            <w:tcW w:type="dxa" w:w="9504"/>
            <w:shd w:fill="F7F5F0"/>
            <w:tcBorders>
              <w:top w:val="single" w:sz="10" w:space="0" w:color="D4CCBF"/>
              <w:left w:val="single" w:sz="10" w:space="0" w:color="D4CCBF"/>
              <w:bottom w:val="single" w:sz="10" w:space="0" w:color="D4CCBF"/>
              <w:right w:val="single" w:sz="10" w:space="0" w:color="D4CCBF"/>
            </w:tcBorders>
            <w:vAlign w:val="top"/>
          </w:tcPr>
          <w:p>
            <w:pPr>
              <w:pStyle w:val="DatumXBody"/>
              <w:spacing w:before="200" w:after="200" w:line="283" w:lineRule="auto"/>
              <w:jc w:val="both"/>
            </w:pPr>
            <w:r>
              <w:rPr>
                <w:rFonts w:ascii="Georgia" w:hAnsi="Georgia"/>
                <w:b w:val="0"/>
                <w:i w:val="0"/>
                <w:color w:val="212429"/>
                <w:sz w:val="22"/>
              </w:rPr>
              <w:t>Blockchain engineer with 6 live contracts deployed across 5 networks, specializing in production-grade Solidity and full-stack Web3 execution layers. Extensive hands-on experience on XRPL EVM Sidechain - including reverse-engineering undocumented RPC incompatibilities (eth_estimateGas / eth_gasPrice absent), implementing legacy tx overrides, and bypassing Foundry simulation for non-standard EVM environments. Architects dependency-free, zero-backend systems with forward-only state machines, per-record access control, and integer-encoded domain values - designed to minimize attack surface and maximize auditability. Owns the full stack: contract architecture -&gt; security invariants -&gt; frontend execution -&gt; deployment tooling.</w:t>
            </w:r>
          </w:p>
        </w:tc>
      </w:tr>
    </w:tbl>
    <w:p>
      <w:r>
        <w:br w:type="page"/>
      </w:r>
    </w:p>
    <w:p>
      <w:pPr>
        <w:pStyle w:val="DatumXSectionTitle"/>
        <w:spacing w:before="0" w:after="120"/>
        <w:pBdr>
          <w:bottom w:val="single" w:sz="10" w:space="1" w:color="CBC3B4"/>
        </w:pBdr>
      </w:pPr>
      <w:r>
        <w:rPr>
          <w:rFonts w:ascii="Aptos Display" w:hAnsi="Aptos Display"/>
          <w:b/>
          <w:i w:val="0"/>
          <w:color w:val="212429"/>
          <w:sz w:val="36"/>
        </w:rPr>
        <w:t>Contents</w:t>
      </w:r>
    </w:p>
    <w:p>
      <w:pPr>
        <w:pStyle w:val="DatumXSmall"/>
        <w:spacing w:before="0" w:after="200"/>
      </w:pPr>
      <w:r>
        <w:rPr>
          <w:rFonts w:ascii="Aptos" w:hAnsi="Aptos"/>
          <w:b w:val="0"/>
          <w:i/>
          <w:color w:val="595F66"/>
          <w:sz w:val="19"/>
        </w:rPr>
        <w:t>Structured section map for the DatumX protocol dossier.</w:t>
      </w:r>
    </w:p>
    <w:tbl>
      <w:tblPr>
        <w:tblW w:type="auto" w:w="0"/>
        <w:jc w:val="left"/>
        <w:tblLayout w:type="autofit"/>
        <w:tblLook w:firstColumn="1" w:firstRow="1" w:lastColumn="0" w:lastRow="0" w:noHBand="0" w:noVBand="1" w:val="04A0"/>
      </w:tblPr>
      <w:tblGrid>
        <w:gridCol w:w="4752"/>
        <w:gridCol w:w="4752"/>
      </w:tblGrid>
      <w:tr>
        <w:tc>
          <w:tcPr>
            <w:tcW w:type="dxa" w:w="4752"/>
            <w:shd w:fill="EFE8DA"/>
            <w:tcBorders>
              <w:top w:val="single" w:sz="10" w:space="0" w:color="C4B89F"/>
              <w:left w:val="single" w:sz="10" w:space="0" w:color="C4B89F"/>
              <w:bottom w:val="single" w:sz="10" w:space="0" w:color="C4B89F"/>
              <w:right w:val="single" w:sz="10" w:space="0" w:color="C4B89F"/>
            </w:tcBorders>
          </w:tcPr>
          <w:p>
            <w:pPr>
              <w:spacing w:before="60" w:after="60"/>
            </w:pPr>
            <w:r>
              <w:rPr>
                <w:rFonts w:ascii="Aptos" w:hAnsi="Aptos"/>
                <w:b/>
                <w:i w:val="0"/>
                <w:color w:val="212429"/>
                <w:sz w:val="19"/>
              </w:rPr>
              <w:t>Section</w:t>
            </w:r>
          </w:p>
        </w:tc>
        <w:tc>
          <w:tcPr>
            <w:tcW w:type="dxa" w:w="4752"/>
            <w:shd w:fill="EFE8DA"/>
            <w:tcBorders>
              <w:top w:val="single" w:sz="10" w:space="0" w:color="C4B89F"/>
              <w:left w:val="single" w:sz="10" w:space="0" w:color="C4B89F"/>
              <w:bottom w:val="single" w:sz="10" w:space="0" w:color="C4B89F"/>
              <w:right w:val="single" w:sz="10" w:space="0" w:color="C4B89F"/>
            </w:tcBorders>
          </w:tcPr>
          <w:p>
            <w:pPr>
              <w:spacing w:before="60" w:after="60"/>
            </w:pPr>
            <w:r>
              <w:rPr>
                <w:rFonts w:ascii="Aptos" w:hAnsi="Aptos"/>
                <w:b/>
                <w:i w:val="0"/>
                <w:color w:val="212429"/>
                <w:sz w:val="19"/>
              </w:rPr>
              <w:t>Topic</w:t>
            </w:r>
          </w:p>
        </w:tc>
      </w:tr>
      <w:tr>
        <w:tc>
          <w:tcPr>
            <w:tcW w:type="dxa" w:w="4752"/>
            <w:tcBorders>
              <w:top w:val="single" w:sz="8" w:space="0" w:color="D4CCBF"/>
              <w:left w:val="single" w:sz="8" w:space="0" w:color="D4CCBF"/>
              <w:bottom w:val="single" w:sz="8" w:space="0" w:color="D4CCBF"/>
              <w:right w:val="single" w:sz="8" w:space="0" w:color="D4CCBF"/>
            </w:tcBorders>
          </w:tcPr>
          <w:p>
            <w:pPr>
              <w:spacing w:before="60" w:after="60"/>
            </w:pPr>
            <w:r>
              <w:rPr>
                <w:rFonts w:ascii="Aptos" w:hAnsi="Aptos"/>
                <w:b/>
                <w:i w:val="0"/>
                <w:color w:val="756140"/>
                <w:sz w:val="21"/>
              </w:rPr>
              <w:t>01</w:t>
            </w:r>
          </w:p>
        </w:tc>
        <w:tc>
          <w:tcPr>
            <w:tcW w:type="dxa" w:w="4752"/>
            <w:tcBorders>
              <w:top w:val="single" w:sz="8" w:space="0" w:color="D4CCBF"/>
              <w:left w:val="single" w:sz="8" w:space="0" w:color="D4CCBF"/>
              <w:bottom w:val="single" w:sz="8" w:space="0" w:color="D4CCBF"/>
              <w:right w:val="single" w:sz="8" w:space="0" w:color="D4CCBF"/>
            </w:tcBorders>
          </w:tcPr>
          <w:p>
            <w:pPr>
              <w:spacing w:before="60" w:after="60" w:line="259" w:lineRule="auto"/>
            </w:pPr>
            <w:r>
              <w:rPr>
                <w:rFonts w:ascii="Georgia" w:hAnsi="Georgia"/>
                <w:b w:val="0"/>
                <w:i w:val="0"/>
                <w:color w:val="212429"/>
                <w:sz w:val="21"/>
              </w:rPr>
              <w:t>Executive Summary</w:t>
            </w:r>
          </w:p>
        </w:tc>
      </w:tr>
      <w:tr>
        <w:tc>
          <w:tcPr>
            <w:tcW w:type="dxa" w:w="4752"/>
            <w:tcBorders>
              <w:top w:val="single" w:sz="8" w:space="0" w:color="D4CCBF"/>
              <w:left w:val="single" w:sz="8" w:space="0" w:color="D4CCBF"/>
              <w:bottom w:val="single" w:sz="8" w:space="0" w:color="D4CCBF"/>
              <w:right w:val="single" w:sz="8" w:space="0" w:color="D4CCBF"/>
            </w:tcBorders>
          </w:tcPr>
          <w:p>
            <w:pPr>
              <w:spacing w:before="60" w:after="60"/>
            </w:pPr>
            <w:r>
              <w:rPr>
                <w:rFonts w:ascii="Aptos" w:hAnsi="Aptos"/>
                <w:b/>
                <w:i w:val="0"/>
                <w:color w:val="756140"/>
                <w:sz w:val="21"/>
              </w:rPr>
              <w:t>02</w:t>
            </w:r>
          </w:p>
        </w:tc>
        <w:tc>
          <w:tcPr>
            <w:tcW w:type="dxa" w:w="4752"/>
            <w:tcBorders>
              <w:top w:val="single" w:sz="8" w:space="0" w:color="D4CCBF"/>
              <w:left w:val="single" w:sz="8" w:space="0" w:color="D4CCBF"/>
              <w:bottom w:val="single" w:sz="8" w:space="0" w:color="D4CCBF"/>
              <w:right w:val="single" w:sz="8" w:space="0" w:color="D4CCBF"/>
            </w:tcBorders>
          </w:tcPr>
          <w:p>
            <w:pPr>
              <w:spacing w:before="60" w:after="60" w:line="259" w:lineRule="auto"/>
            </w:pPr>
            <w:r>
              <w:rPr>
                <w:rFonts w:ascii="Georgia" w:hAnsi="Georgia"/>
                <w:b w:val="0"/>
                <w:i w:val="0"/>
                <w:color w:val="212429"/>
                <w:sz w:val="21"/>
              </w:rPr>
              <w:t>Industry Context</w:t>
            </w:r>
          </w:p>
        </w:tc>
      </w:tr>
      <w:tr>
        <w:tc>
          <w:tcPr>
            <w:tcW w:type="dxa" w:w="4752"/>
            <w:tcBorders>
              <w:top w:val="single" w:sz="8" w:space="0" w:color="D4CCBF"/>
              <w:left w:val="single" w:sz="8" w:space="0" w:color="D4CCBF"/>
              <w:bottom w:val="single" w:sz="8" w:space="0" w:color="D4CCBF"/>
              <w:right w:val="single" w:sz="8" w:space="0" w:color="D4CCBF"/>
            </w:tcBorders>
          </w:tcPr>
          <w:p>
            <w:pPr>
              <w:spacing w:before="60" w:after="60"/>
            </w:pPr>
            <w:r>
              <w:rPr>
                <w:rFonts w:ascii="Aptos" w:hAnsi="Aptos"/>
                <w:b/>
                <w:i w:val="0"/>
                <w:color w:val="756140"/>
                <w:sz w:val="21"/>
              </w:rPr>
              <w:t>03</w:t>
            </w:r>
          </w:p>
        </w:tc>
        <w:tc>
          <w:tcPr>
            <w:tcW w:type="dxa" w:w="4752"/>
            <w:tcBorders>
              <w:top w:val="single" w:sz="8" w:space="0" w:color="D4CCBF"/>
              <w:left w:val="single" w:sz="8" w:space="0" w:color="D4CCBF"/>
              <w:bottom w:val="single" w:sz="8" w:space="0" w:color="D4CCBF"/>
              <w:right w:val="single" w:sz="8" w:space="0" w:color="D4CCBF"/>
            </w:tcBorders>
          </w:tcPr>
          <w:p>
            <w:pPr>
              <w:spacing w:before="60" w:after="60" w:line="259" w:lineRule="auto"/>
            </w:pPr>
            <w:r>
              <w:rPr>
                <w:rFonts w:ascii="Georgia" w:hAnsi="Georgia"/>
                <w:b w:val="0"/>
                <w:i w:val="0"/>
                <w:color w:val="212429"/>
                <w:sz w:val="21"/>
              </w:rPr>
              <w:t>Problem Definition</w:t>
            </w:r>
          </w:p>
        </w:tc>
      </w:tr>
      <w:tr>
        <w:tc>
          <w:tcPr>
            <w:tcW w:type="dxa" w:w="4752"/>
            <w:tcBorders>
              <w:top w:val="single" w:sz="8" w:space="0" w:color="D4CCBF"/>
              <w:left w:val="single" w:sz="8" w:space="0" w:color="D4CCBF"/>
              <w:bottom w:val="single" w:sz="8" w:space="0" w:color="D4CCBF"/>
              <w:right w:val="single" w:sz="8" w:space="0" w:color="D4CCBF"/>
            </w:tcBorders>
          </w:tcPr>
          <w:p>
            <w:pPr>
              <w:spacing w:before="60" w:after="60"/>
            </w:pPr>
            <w:r>
              <w:rPr>
                <w:rFonts w:ascii="Aptos" w:hAnsi="Aptos"/>
                <w:b/>
                <w:i w:val="0"/>
                <w:color w:val="756140"/>
                <w:sz w:val="21"/>
              </w:rPr>
              <w:t>04</w:t>
            </w:r>
          </w:p>
        </w:tc>
        <w:tc>
          <w:tcPr>
            <w:tcW w:type="dxa" w:w="4752"/>
            <w:tcBorders>
              <w:top w:val="single" w:sz="8" w:space="0" w:color="D4CCBF"/>
              <w:left w:val="single" w:sz="8" w:space="0" w:color="D4CCBF"/>
              <w:bottom w:val="single" w:sz="8" w:space="0" w:color="D4CCBF"/>
              <w:right w:val="single" w:sz="8" w:space="0" w:color="D4CCBF"/>
            </w:tcBorders>
          </w:tcPr>
          <w:p>
            <w:pPr>
              <w:spacing w:before="60" w:after="60" w:line="259" w:lineRule="auto"/>
            </w:pPr>
            <w:r>
              <w:rPr>
                <w:rFonts w:ascii="Georgia" w:hAnsi="Georgia"/>
                <w:b w:val="0"/>
                <w:i w:val="0"/>
                <w:color w:val="212429"/>
                <w:sz w:val="21"/>
              </w:rPr>
              <w:t>DatumX Architecture Overview</w:t>
            </w:r>
          </w:p>
        </w:tc>
      </w:tr>
      <w:tr>
        <w:tc>
          <w:tcPr>
            <w:tcW w:type="dxa" w:w="4752"/>
            <w:tcBorders>
              <w:top w:val="single" w:sz="8" w:space="0" w:color="D4CCBF"/>
              <w:left w:val="single" w:sz="8" w:space="0" w:color="D4CCBF"/>
              <w:bottom w:val="single" w:sz="8" w:space="0" w:color="D4CCBF"/>
              <w:right w:val="single" w:sz="8" w:space="0" w:color="D4CCBF"/>
            </w:tcBorders>
          </w:tcPr>
          <w:p>
            <w:pPr>
              <w:spacing w:before="60" w:after="60"/>
            </w:pPr>
            <w:r>
              <w:rPr>
                <w:rFonts w:ascii="Aptos" w:hAnsi="Aptos"/>
                <w:b/>
                <w:i w:val="0"/>
                <w:color w:val="756140"/>
                <w:sz w:val="21"/>
              </w:rPr>
              <w:t>05</w:t>
            </w:r>
          </w:p>
        </w:tc>
        <w:tc>
          <w:tcPr>
            <w:tcW w:type="dxa" w:w="4752"/>
            <w:tcBorders>
              <w:top w:val="single" w:sz="8" w:space="0" w:color="D4CCBF"/>
              <w:left w:val="single" w:sz="8" w:space="0" w:color="D4CCBF"/>
              <w:bottom w:val="single" w:sz="8" w:space="0" w:color="D4CCBF"/>
              <w:right w:val="single" w:sz="8" w:space="0" w:color="D4CCBF"/>
            </w:tcBorders>
          </w:tcPr>
          <w:p>
            <w:pPr>
              <w:spacing w:before="60" w:after="60" w:line="259" w:lineRule="auto"/>
            </w:pPr>
            <w:r>
              <w:rPr>
                <w:rFonts w:ascii="Georgia" w:hAnsi="Georgia"/>
                <w:b w:val="0"/>
                <w:i w:val="0"/>
                <w:color w:val="212429"/>
                <w:sz w:val="21"/>
              </w:rPr>
              <w:t>Core Protocol Design</w:t>
            </w:r>
          </w:p>
        </w:tc>
      </w:tr>
      <w:tr>
        <w:tc>
          <w:tcPr>
            <w:tcW w:type="dxa" w:w="4752"/>
            <w:tcBorders>
              <w:top w:val="single" w:sz="8" w:space="0" w:color="D4CCBF"/>
              <w:left w:val="single" w:sz="8" w:space="0" w:color="D4CCBF"/>
              <w:bottom w:val="single" w:sz="8" w:space="0" w:color="D4CCBF"/>
              <w:right w:val="single" w:sz="8" w:space="0" w:color="D4CCBF"/>
            </w:tcBorders>
          </w:tcPr>
          <w:p>
            <w:pPr>
              <w:spacing w:before="60" w:after="60"/>
            </w:pPr>
            <w:r>
              <w:rPr>
                <w:rFonts w:ascii="Aptos" w:hAnsi="Aptos"/>
                <w:b/>
                <w:i w:val="0"/>
                <w:color w:val="756140"/>
                <w:sz w:val="21"/>
              </w:rPr>
              <w:t>06</w:t>
            </w:r>
          </w:p>
        </w:tc>
        <w:tc>
          <w:tcPr>
            <w:tcW w:type="dxa" w:w="4752"/>
            <w:tcBorders>
              <w:top w:val="single" w:sz="8" w:space="0" w:color="D4CCBF"/>
              <w:left w:val="single" w:sz="8" w:space="0" w:color="D4CCBF"/>
              <w:bottom w:val="single" w:sz="8" w:space="0" w:color="D4CCBF"/>
              <w:right w:val="single" w:sz="8" w:space="0" w:color="D4CCBF"/>
            </w:tcBorders>
          </w:tcPr>
          <w:p>
            <w:pPr>
              <w:spacing w:before="60" w:after="60" w:line="259" w:lineRule="auto"/>
            </w:pPr>
            <w:r>
              <w:rPr>
                <w:rFonts w:ascii="Georgia" w:hAnsi="Georgia"/>
                <w:b w:val="0"/>
                <w:i w:val="0"/>
                <w:color w:val="212429"/>
                <w:sz w:val="21"/>
              </w:rPr>
              <w:t>Adapter Model (Key Innovation)</w:t>
            </w:r>
          </w:p>
        </w:tc>
      </w:tr>
      <w:tr>
        <w:tc>
          <w:tcPr>
            <w:tcW w:type="dxa" w:w="4752"/>
            <w:tcBorders>
              <w:top w:val="single" w:sz="8" w:space="0" w:color="D4CCBF"/>
              <w:left w:val="single" w:sz="8" w:space="0" w:color="D4CCBF"/>
              <w:bottom w:val="single" w:sz="8" w:space="0" w:color="D4CCBF"/>
              <w:right w:val="single" w:sz="8" w:space="0" w:color="D4CCBF"/>
            </w:tcBorders>
          </w:tcPr>
          <w:p>
            <w:pPr>
              <w:spacing w:before="60" w:after="60"/>
            </w:pPr>
            <w:r>
              <w:rPr>
                <w:rFonts w:ascii="Aptos" w:hAnsi="Aptos"/>
                <w:b/>
                <w:i w:val="0"/>
                <w:color w:val="756140"/>
                <w:sz w:val="21"/>
              </w:rPr>
              <w:t>07</w:t>
            </w:r>
          </w:p>
        </w:tc>
        <w:tc>
          <w:tcPr>
            <w:tcW w:type="dxa" w:w="4752"/>
            <w:tcBorders>
              <w:top w:val="single" w:sz="8" w:space="0" w:color="D4CCBF"/>
              <w:left w:val="single" w:sz="8" w:space="0" w:color="D4CCBF"/>
              <w:bottom w:val="single" w:sz="8" w:space="0" w:color="D4CCBF"/>
              <w:right w:val="single" w:sz="8" w:space="0" w:color="D4CCBF"/>
            </w:tcBorders>
          </w:tcPr>
          <w:p>
            <w:pPr>
              <w:spacing w:before="60" w:after="60" w:line="259" w:lineRule="auto"/>
            </w:pPr>
            <w:r>
              <w:rPr>
                <w:rFonts w:ascii="Georgia" w:hAnsi="Georgia"/>
                <w:b w:val="0"/>
                <w:i w:val="0"/>
                <w:color w:val="212429"/>
                <w:sz w:val="21"/>
              </w:rPr>
              <w:t>Dataset Lifecycle Model</w:t>
            </w:r>
          </w:p>
        </w:tc>
      </w:tr>
      <w:tr>
        <w:tc>
          <w:tcPr>
            <w:tcW w:type="dxa" w:w="4752"/>
            <w:tcBorders>
              <w:top w:val="single" w:sz="8" w:space="0" w:color="D4CCBF"/>
              <w:left w:val="single" w:sz="8" w:space="0" w:color="D4CCBF"/>
              <w:bottom w:val="single" w:sz="8" w:space="0" w:color="D4CCBF"/>
              <w:right w:val="single" w:sz="8" w:space="0" w:color="D4CCBF"/>
            </w:tcBorders>
          </w:tcPr>
          <w:p>
            <w:pPr>
              <w:spacing w:before="60" w:after="60"/>
            </w:pPr>
            <w:r>
              <w:rPr>
                <w:rFonts w:ascii="Aptos" w:hAnsi="Aptos"/>
                <w:b/>
                <w:i w:val="0"/>
                <w:color w:val="756140"/>
                <w:sz w:val="21"/>
              </w:rPr>
              <w:t>08</w:t>
            </w:r>
          </w:p>
        </w:tc>
        <w:tc>
          <w:tcPr>
            <w:tcW w:type="dxa" w:w="4752"/>
            <w:tcBorders>
              <w:top w:val="single" w:sz="8" w:space="0" w:color="D4CCBF"/>
              <w:left w:val="single" w:sz="8" w:space="0" w:color="D4CCBF"/>
              <w:bottom w:val="single" w:sz="8" w:space="0" w:color="D4CCBF"/>
              <w:right w:val="single" w:sz="8" w:space="0" w:color="D4CCBF"/>
            </w:tcBorders>
          </w:tcPr>
          <w:p>
            <w:pPr>
              <w:spacing w:before="60" w:after="60" w:line="259" w:lineRule="auto"/>
            </w:pPr>
            <w:r>
              <w:rPr>
                <w:rFonts w:ascii="Georgia" w:hAnsi="Georgia"/>
                <w:b w:val="0"/>
                <w:i w:val="0"/>
                <w:color w:val="212429"/>
                <w:sz w:val="21"/>
              </w:rPr>
              <w:t>Validation + Consensus System</w:t>
            </w:r>
          </w:p>
        </w:tc>
      </w:tr>
      <w:tr>
        <w:tc>
          <w:tcPr>
            <w:tcW w:type="dxa" w:w="4752"/>
            <w:tcBorders>
              <w:top w:val="single" w:sz="8" w:space="0" w:color="D4CCBF"/>
              <w:left w:val="single" w:sz="8" w:space="0" w:color="D4CCBF"/>
              <w:bottom w:val="single" w:sz="8" w:space="0" w:color="D4CCBF"/>
              <w:right w:val="single" w:sz="8" w:space="0" w:color="D4CCBF"/>
            </w:tcBorders>
          </w:tcPr>
          <w:p>
            <w:pPr>
              <w:spacing w:before="60" w:after="60"/>
            </w:pPr>
            <w:r>
              <w:rPr>
                <w:rFonts w:ascii="Aptos" w:hAnsi="Aptos"/>
                <w:b/>
                <w:i w:val="0"/>
                <w:color w:val="756140"/>
                <w:sz w:val="21"/>
              </w:rPr>
              <w:t>09</w:t>
            </w:r>
          </w:p>
        </w:tc>
        <w:tc>
          <w:tcPr>
            <w:tcW w:type="dxa" w:w="4752"/>
            <w:tcBorders>
              <w:top w:val="single" w:sz="8" w:space="0" w:color="D4CCBF"/>
              <w:left w:val="single" w:sz="8" w:space="0" w:color="D4CCBF"/>
              <w:bottom w:val="single" w:sz="8" w:space="0" w:color="D4CCBF"/>
              <w:right w:val="single" w:sz="8" w:space="0" w:color="D4CCBF"/>
            </w:tcBorders>
          </w:tcPr>
          <w:p>
            <w:pPr>
              <w:spacing w:before="60" w:after="60" w:line="259" w:lineRule="auto"/>
            </w:pPr>
            <w:r>
              <w:rPr>
                <w:rFonts w:ascii="Georgia" w:hAnsi="Georgia"/>
                <w:b w:val="0"/>
                <w:i w:val="0"/>
                <w:color w:val="212429"/>
                <w:sz w:val="21"/>
              </w:rPr>
              <w:t>Security + Integrity Model</w:t>
            </w:r>
          </w:p>
        </w:tc>
      </w:tr>
      <w:tr>
        <w:tc>
          <w:tcPr>
            <w:tcW w:type="dxa" w:w="4752"/>
            <w:tcBorders>
              <w:top w:val="single" w:sz="8" w:space="0" w:color="D4CCBF"/>
              <w:left w:val="single" w:sz="8" w:space="0" w:color="D4CCBF"/>
              <w:bottom w:val="single" w:sz="8" w:space="0" w:color="D4CCBF"/>
              <w:right w:val="single" w:sz="8" w:space="0" w:color="D4CCBF"/>
            </w:tcBorders>
          </w:tcPr>
          <w:p>
            <w:pPr>
              <w:spacing w:before="60" w:after="60"/>
            </w:pPr>
            <w:r>
              <w:rPr>
                <w:rFonts w:ascii="Aptos" w:hAnsi="Aptos"/>
                <w:b/>
                <w:i w:val="0"/>
                <w:color w:val="756140"/>
                <w:sz w:val="21"/>
              </w:rPr>
              <w:t>10</w:t>
            </w:r>
          </w:p>
        </w:tc>
        <w:tc>
          <w:tcPr>
            <w:tcW w:type="dxa" w:w="4752"/>
            <w:tcBorders>
              <w:top w:val="single" w:sz="8" w:space="0" w:color="D4CCBF"/>
              <w:left w:val="single" w:sz="8" w:space="0" w:color="D4CCBF"/>
              <w:bottom w:val="single" w:sz="8" w:space="0" w:color="D4CCBF"/>
              <w:right w:val="single" w:sz="8" w:space="0" w:color="D4CCBF"/>
            </w:tcBorders>
          </w:tcPr>
          <w:p>
            <w:pPr>
              <w:spacing w:before="60" w:after="60" w:line="259" w:lineRule="auto"/>
            </w:pPr>
            <w:r>
              <w:rPr>
                <w:rFonts w:ascii="Georgia" w:hAnsi="Georgia"/>
                <w:b w:val="0"/>
                <w:i w:val="0"/>
                <w:color w:val="212429"/>
                <w:sz w:val="21"/>
              </w:rPr>
              <w:t>Frontend System (Resource Integrity Console)</w:t>
            </w:r>
          </w:p>
        </w:tc>
      </w:tr>
      <w:tr>
        <w:tc>
          <w:tcPr>
            <w:tcW w:type="dxa" w:w="4752"/>
            <w:tcBorders>
              <w:top w:val="single" w:sz="8" w:space="0" w:color="D4CCBF"/>
              <w:left w:val="single" w:sz="8" w:space="0" w:color="D4CCBF"/>
              <w:bottom w:val="single" w:sz="8" w:space="0" w:color="D4CCBF"/>
              <w:right w:val="single" w:sz="8" w:space="0" w:color="D4CCBF"/>
            </w:tcBorders>
          </w:tcPr>
          <w:p>
            <w:pPr>
              <w:spacing w:before="60" w:after="60"/>
            </w:pPr>
            <w:r>
              <w:rPr>
                <w:rFonts w:ascii="Aptos" w:hAnsi="Aptos"/>
                <w:b/>
                <w:i w:val="0"/>
                <w:color w:val="756140"/>
                <w:sz w:val="21"/>
              </w:rPr>
              <w:t>11</w:t>
            </w:r>
          </w:p>
        </w:tc>
        <w:tc>
          <w:tcPr>
            <w:tcW w:type="dxa" w:w="4752"/>
            <w:tcBorders>
              <w:top w:val="single" w:sz="8" w:space="0" w:color="D4CCBF"/>
              <w:left w:val="single" w:sz="8" w:space="0" w:color="D4CCBF"/>
              <w:bottom w:val="single" w:sz="8" w:space="0" w:color="D4CCBF"/>
              <w:right w:val="single" w:sz="8" w:space="0" w:color="D4CCBF"/>
            </w:tcBorders>
          </w:tcPr>
          <w:p>
            <w:pPr>
              <w:spacing w:before="60" w:after="60" w:line="259" w:lineRule="auto"/>
            </w:pPr>
            <w:r>
              <w:rPr>
                <w:rFonts w:ascii="Georgia" w:hAnsi="Georgia"/>
                <w:b w:val="0"/>
                <w:i w:val="0"/>
                <w:color w:val="212429"/>
                <w:sz w:val="21"/>
              </w:rPr>
              <w:t>XRPL EVM Deployment Model</w:t>
            </w:r>
          </w:p>
        </w:tc>
      </w:tr>
      <w:tr>
        <w:tc>
          <w:tcPr>
            <w:tcW w:type="dxa" w:w="4752"/>
            <w:tcBorders>
              <w:top w:val="single" w:sz="8" w:space="0" w:color="D4CCBF"/>
              <w:left w:val="single" w:sz="8" w:space="0" w:color="D4CCBF"/>
              <w:bottom w:val="single" w:sz="8" w:space="0" w:color="D4CCBF"/>
              <w:right w:val="single" w:sz="8" w:space="0" w:color="D4CCBF"/>
            </w:tcBorders>
          </w:tcPr>
          <w:p>
            <w:pPr>
              <w:spacing w:before="60" w:after="60"/>
            </w:pPr>
            <w:r>
              <w:rPr>
                <w:rFonts w:ascii="Aptos" w:hAnsi="Aptos"/>
                <w:b/>
                <w:i w:val="0"/>
                <w:color w:val="756140"/>
                <w:sz w:val="21"/>
              </w:rPr>
              <w:t>12</w:t>
            </w:r>
          </w:p>
        </w:tc>
        <w:tc>
          <w:tcPr>
            <w:tcW w:type="dxa" w:w="4752"/>
            <w:tcBorders>
              <w:top w:val="single" w:sz="8" w:space="0" w:color="D4CCBF"/>
              <w:left w:val="single" w:sz="8" w:space="0" w:color="D4CCBF"/>
              <w:bottom w:val="single" w:sz="8" w:space="0" w:color="D4CCBF"/>
              <w:right w:val="single" w:sz="8" w:space="0" w:color="D4CCBF"/>
            </w:tcBorders>
          </w:tcPr>
          <w:p>
            <w:pPr>
              <w:spacing w:before="60" w:after="60" w:line="259" w:lineRule="auto"/>
            </w:pPr>
            <w:r>
              <w:rPr>
                <w:rFonts w:ascii="Georgia" w:hAnsi="Georgia"/>
                <w:b w:val="0"/>
                <w:i w:val="0"/>
                <w:color w:val="212429"/>
                <w:sz w:val="21"/>
              </w:rPr>
              <w:t>Tradeoffs + Limitations</w:t>
            </w:r>
          </w:p>
        </w:tc>
      </w:tr>
      <w:tr>
        <w:tc>
          <w:tcPr>
            <w:tcW w:type="dxa" w:w="4752"/>
            <w:tcBorders>
              <w:top w:val="single" w:sz="8" w:space="0" w:color="D4CCBF"/>
              <w:left w:val="single" w:sz="8" w:space="0" w:color="D4CCBF"/>
              <w:bottom w:val="single" w:sz="8" w:space="0" w:color="D4CCBF"/>
              <w:right w:val="single" w:sz="8" w:space="0" w:color="D4CCBF"/>
            </w:tcBorders>
          </w:tcPr>
          <w:p>
            <w:pPr>
              <w:spacing w:before="60" w:after="60"/>
            </w:pPr>
            <w:r>
              <w:rPr>
                <w:rFonts w:ascii="Aptos" w:hAnsi="Aptos"/>
                <w:b/>
                <w:i w:val="0"/>
                <w:color w:val="756140"/>
                <w:sz w:val="21"/>
              </w:rPr>
              <w:t>13</w:t>
            </w:r>
          </w:p>
        </w:tc>
        <w:tc>
          <w:tcPr>
            <w:tcW w:type="dxa" w:w="4752"/>
            <w:tcBorders>
              <w:top w:val="single" w:sz="8" w:space="0" w:color="D4CCBF"/>
              <w:left w:val="single" w:sz="8" w:space="0" w:color="D4CCBF"/>
              <w:bottom w:val="single" w:sz="8" w:space="0" w:color="D4CCBF"/>
              <w:right w:val="single" w:sz="8" w:space="0" w:color="D4CCBF"/>
            </w:tcBorders>
          </w:tcPr>
          <w:p>
            <w:pPr>
              <w:spacing w:before="60" w:after="60" w:line="259" w:lineRule="auto"/>
            </w:pPr>
            <w:r>
              <w:rPr>
                <w:rFonts w:ascii="Georgia" w:hAnsi="Georgia"/>
                <w:b w:val="0"/>
                <w:i w:val="0"/>
                <w:color w:val="212429"/>
                <w:sz w:val="21"/>
              </w:rPr>
              <w:t>Future Extensions</w:t>
            </w:r>
          </w:p>
        </w:tc>
      </w:tr>
      <w:tr>
        <w:tc>
          <w:tcPr>
            <w:tcW w:type="dxa" w:w="4752"/>
            <w:tcBorders>
              <w:top w:val="single" w:sz="8" w:space="0" w:color="D4CCBF"/>
              <w:left w:val="single" w:sz="8" w:space="0" w:color="D4CCBF"/>
              <w:bottom w:val="single" w:sz="8" w:space="0" w:color="D4CCBF"/>
              <w:right w:val="single" w:sz="8" w:space="0" w:color="D4CCBF"/>
            </w:tcBorders>
          </w:tcPr>
          <w:p>
            <w:pPr>
              <w:spacing w:before="60" w:after="60"/>
            </w:pPr>
            <w:r>
              <w:rPr>
                <w:rFonts w:ascii="Aptos" w:hAnsi="Aptos"/>
                <w:b/>
                <w:i w:val="0"/>
                <w:color w:val="756140"/>
                <w:sz w:val="21"/>
              </w:rPr>
              <w:t>14</w:t>
            </w:r>
          </w:p>
        </w:tc>
        <w:tc>
          <w:tcPr>
            <w:tcW w:type="dxa" w:w="4752"/>
            <w:tcBorders>
              <w:top w:val="single" w:sz="8" w:space="0" w:color="D4CCBF"/>
              <w:left w:val="single" w:sz="8" w:space="0" w:color="D4CCBF"/>
              <w:bottom w:val="single" w:sz="8" w:space="0" w:color="D4CCBF"/>
              <w:right w:val="single" w:sz="8" w:space="0" w:color="D4CCBF"/>
            </w:tcBorders>
          </w:tcPr>
          <w:p>
            <w:pPr>
              <w:spacing w:before="60" w:after="60" w:line="259" w:lineRule="auto"/>
            </w:pPr>
            <w:r>
              <w:rPr>
                <w:rFonts w:ascii="Georgia" w:hAnsi="Georgia"/>
                <w:b w:val="0"/>
                <w:i w:val="0"/>
                <w:color w:val="212429"/>
                <w:sz w:val="21"/>
              </w:rPr>
              <w:t>Why This Matters</w:t>
            </w:r>
          </w:p>
        </w:tc>
      </w:tr>
      <w:tr>
        <w:tc>
          <w:tcPr>
            <w:tcW w:type="dxa" w:w="4752"/>
            <w:tcBorders>
              <w:top w:val="single" w:sz="8" w:space="0" w:color="D4CCBF"/>
              <w:left w:val="single" w:sz="8" w:space="0" w:color="D4CCBF"/>
              <w:bottom w:val="single" w:sz="8" w:space="0" w:color="D4CCBF"/>
              <w:right w:val="single" w:sz="8" w:space="0" w:color="D4CCBF"/>
            </w:tcBorders>
          </w:tcPr>
          <w:p>
            <w:pPr>
              <w:spacing w:before="60" w:after="60"/>
            </w:pPr>
            <w:r>
              <w:rPr>
                <w:rFonts w:ascii="Aptos" w:hAnsi="Aptos"/>
                <w:b/>
                <w:i w:val="0"/>
                <w:color w:val="756140"/>
                <w:sz w:val="21"/>
              </w:rPr>
              <w:t>15</w:t>
            </w:r>
          </w:p>
        </w:tc>
        <w:tc>
          <w:tcPr>
            <w:tcW w:type="dxa" w:w="4752"/>
            <w:tcBorders>
              <w:top w:val="single" w:sz="8" w:space="0" w:color="D4CCBF"/>
              <w:left w:val="single" w:sz="8" w:space="0" w:color="D4CCBF"/>
              <w:bottom w:val="single" w:sz="8" w:space="0" w:color="D4CCBF"/>
              <w:right w:val="single" w:sz="8" w:space="0" w:color="D4CCBF"/>
            </w:tcBorders>
          </w:tcPr>
          <w:p>
            <w:pPr>
              <w:spacing w:before="60" w:after="60" w:line="259" w:lineRule="auto"/>
            </w:pPr>
            <w:r>
              <w:rPr>
                <w:rFonts w:ascii="Georgia" w:hAnsi="Georgia"/>
                <w:b w:val="0"/>
                <w:i w:val="0"/>
                <w:color w:val="212429"/>
                <w:sz w:val="21"/>
              </w:rPr>
              <w:t>Conclusion</w:t>
            </w:r>
          </w:p>
        </w:tc>
      </w:tr>
    </w:tbl>
    <w:p>
      <w:pPr>
        <w:spacing w:before="0" w:after="80"/>
      </w:pPr>
    </w:p>
    <w:p>
      <w:r>
        <w:br w:type="page"/>
      </w:r>
    </w:p>
    <w:p>
      <w:pPr>
        <w:pStyle w:val="DatumXLabel"/>
        <w:spacing w:before="160" w:after="40"/>
      </w:pPr>
      <w:r>
        <w:rPr>
          <w:rFonts w:ascii="Aptos" w:hAnsi="Aptos"/>
          <w:b/>
          <w:i w:val="0"/>
          <w:color w:val="756140"/>
          <w:sz w:val="18"/>
        </w:rPr>
        <w:t>PROTOCOL SCHEMA</w:t>
      </w:r>
    </w:p>
    <w:p>
      <w:pPr>
        <w:pStyle w:val="DatumXSectionTitle"/>
        <w:spacing w:before="0" w:after="160"/>
        <w:pBdr>
          <w:bottom w:val="single" w:sz="10" w:space="1" w:color="CBC3B4"/>
        </w:pBdr>
      </w:pPr>
      <w:r>
        <w:rPr>
          <w:rFonts w:ascii="Aptos Display" w:hAnsi="Aptos Display"/>
          <w:b/>
          <w:i w:val="0"/>
          <w:color w:val="212429"/>
          <w:sz w:val="36"/>
        </w:rPr>
        <w:t>How a transformed release becomes decision-grade</w:t>
      </w:r>
    </w:p>
    <w:p>
      <w:pPr>
        <w:pStyle w:val="DatumXSmall"/>
        <w:spacing w:before="0" w:after="240" w:line="269" w:lineRule="auto"/>
      </w:pPr>
      <w:r>
        <w:rPr>
          <w:rFonts w:ascii="Aptos" w:hAnsi="Aptos"/>
          <w:b w:val="0"/>
          <w:i w:val="0"/>
          <w:color w:val="595F66"/>
          <w:sz w:val="19"/>
        </w:rPr>
        <w:t>The protocol separates normalization, registration, review, and closure so each release passes through an explicit trust boundary before downstream use.</w:t>
      </w:r>
    </w:p>
    <w:p>
      <w:pPr>
        <w:pStyle w:val="DatumXLabel"/>
        <w:spacing w:before="120" w:after="80"/>
      </w:pPr>
      <w:r>
        <w:rPr>
          <w:rFonts w:ascii="Aptos" w:hAnsi="Aptos"/>
          <w:b/>
          <w:i w:val="0"/>
          <w:color w:val="756140"/>
          <w:sz w:val="17"/>
        </w:rPr>
        <w:t>RELEASE PATHWAY</w:t>
      </w:r>
    </w:p>
    <w:tbl>
      <w:tblPr>
        <w:tblStyle w:val="TableGrid"/>
        <w:tblW w:type="auto" w:w="0"/>
        <w:jc w:val="left"/>
        <w:tblLayout w:type="autofit"/>
        <w:tblLook w:firstColumn="1" w:firstRow="1" w:lastColumn="0" w:lastRow="0" w:noHBand="0" w:noVBand="1" w:val="04A0"/>
      </w:tblPr>
      <w:tblGrid>
        <w:gridCol w:w="3168"/>
        <w:gridCol w:w="3168"/>
        <w:gridCol w:w="3168"/>
      </w:tblGrid>
      <w:tr>
        <w:tc>
          <w:tcPr>
            <w:tcW w:type="dxa" w:w="3168"/>
            <w:shd w:fill="EFE8DA"/>
            <w:tcBorders>
              <w:top w:val="single" w:sz="10" w:space="0" w:color="C4B89F"/>
              <w:left w:val="single" w:sz="10" w:space="0" w:color="C4B89F"/>
              <w:bottom w:val="single" w:sz="10" w:space="0" w:color="C4B89F"/>
              <w:right w:val="single" w:sz="10" w:space="0" w:color="C4B89F"/>
            </w:tcBorders>
            <w:vAlign w:val="center"/>
          </w:tcPr>
          <w:p>
            <w:pPr>
              <w:spacing w:before="60" w:after="60"/>
              <w:jc w:val="left"/>
            </w:pPr>
            <w:r>
              <w:rPr>
                <w:rFonts w:ascii="Aptos" w:hAnsi="Aptos"/>
                <w:b/>
                <w:i w:val="0"/>
                <w:color w:val="212429"/>
                <w:sz w:val="19"/>
              </w:rPr>
              <w:t>Phase</w:t>
            </w:r>
          </w:p>
        </w:tc>
        <w:tc>
          <w:tcPr>
            <w:tcW w:type="dxa" w:w="3168"/>
            <w:shd w:fill="EFE8DA"/>
            <w:tcBorders>
              <w:top w:val="single" w:sz="10" w:space="0" w:color="C4B89F"/>
              <w:left w:val="single" w:sz="10" w:space="0" w:color="C4B89F"/>
              <w:bottom w:val="single" w:sz="10" w:space="0" w:color="C4B89F"/>
              <w:right w:val="single" w:sz="10" w:space="0" w:color="C4B89F"/>
            </w:tcBorders>
            <w:vAlign w:val="center"/>
          </w:tcPr>
          <w:p>
            <w:pPr>
              <w:spacing w:before="60" w:after="60"/>
              <w:jc w:val="left"/>
            </w:pPr>
            <w:r>
              <w:rPr>
                <w:rFonts w:ascii="Aptos" w:hAnsi="Aptos"/>
                <w:b/>
                <w:i w:val="0"/>
                <w:color w:val="212429"/>
                <w:sz w:val="19"/>
              </w:rPr>
              <w:t>Protocol Action</w:t>
            </w:r>
          </w:p>
        </w:tc>
        <w:tc>
          <w:tcPr>
            <w:tcW w:type="dxa" w:w="3168"/>
            <w:shd w:fill="EFE8DA"/>
            <w:tcBorders>
              <w:top w:val="single" w:sz="10" w:space="0" w:color="C4B89F"/>
              <w:left w:val="single" w:sz="10" w:space="0" w:color="C4B89F"/>
              <w:bottom w:val="single" w:sz="10" w:space="0" w:color="C4B89F"/>
              <w:right w:val="single" w:sz="10" w:space="0" w:color="C4B89F"/>
            </w:tcBorders>
            <w:vAlign w:val="center"/>
          </w:tcPr>
          <w:p>
            <w:pPr>
              <w:spacing w:before="60" w:after="60"/>
              <w:jc w:val="left"/>
            </w:pPr>
            <w:r>
              <w:rPr>
                <w:rFonts w:ascii="Aptos" w:hAnsi="Aptos"/>
                <w:b/>
                <w:i w:val="0"/>
                <w:color w:val="212429"/>
                <w:sz w:val="19"/>
              </w:rPr>
              <w:t>Trust Outcome</w:t>
            </w:r>
          </w:p>
        </w:tc>
      </w:tr>
      <w:tr>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1. Adapter normalization</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Project adapter receives typed payload and emits canonical dataset input.</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Project-specific messiness is constrained before entering the core registry.</w:t>
            </w:r>
          </w:p>
        </w:tc>
      </w:tr>
      <w:tr>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2. Canonical registration</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Router forwards normalized release into DatasetRegistry.</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The release gets a durable identity, project binding, and lineage anchor.</w:t>
            </w:r>
          </w:p>
        </w:tc>
      </w:tr>
      <w:tr>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3. Validator review</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Assigned validators submit approval and confidence judgments.</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Consensus becomes explicit instead of implied by operator workflow.</w:t>
            </w:r>
          </w:p>
        </w:tc>
      </w:tr>
      <w:tr>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4. Auditor finalization</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Auditor closes only approved releases that still satisfy thresholds.</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The dataset becomes decision-grade and eligible to parent the next stage.</w:t>
            </w:r>
          </w:p>
        </w:tc>
      </w:tr>
    </w:tbl>
    <w:p>
      <w:pPr>
        <w:spacing w:before="0" w:after="160"/>
      </w:pPr>
    </w:p>
    <w:p>
      <w:pPr>
        <w:pStyle w:val="DatumXLabel"/>
        <w:spacing w:before="120" w:after="80"/>
      </w:pPr>
      <w:r>
        <w:rPr>
          <w:rFonts w:ascii="Aptos" w:hAnsi="Aptos"/>
          <w:b/>
          <w:i w:val="0"/>
          <w:color w:val="756140"/>
          <w:sz w:val="17"/>
        </w:rPr>
        <w:t>OPERATIONAL LANES</w:t>
      </w:r>
    </w:p>
    <w:tbl>
      <w:tblPr>
        <w:tblStyle w:val="TableGrid"/>
        <w:tblW w:type="auto" w:w="0"/>
        <w:jc w:val="left"/>
        <w:tblLayout w:type="autofit"/>
        <w:tblLook w:firstColumn="1" w:firstRow="1" w:lastColumn="0" w:lastRow="0" w:noHBand="0" w:noVBand="1" w:val="04A0"/>
      </w:tblPr>
      <w:tblGrid>
        <w:gridCol w:w="3168"/>
        <w:gridCol w:w="3168"/>
        <w:gridCol w:w="3168"/>
      </w:tblGrid>
      <w:tr>
        <w:tc>
          <w:tcPr>
            <w:tcW w:type="dxa" w:w="3168"/>
            <w:shd w:fill="EFE8DA"/>
            <w:tcBorders>
              <w:top w:val="single" w:sz="10" w:space="0" w:color="C4B89F"/>
              <w:left w:val="single" w:sz="10" w:space="0" w:color="C4B89F"/>
              <w:bottom w:val="single" w:sz="10" w:space="0" w:color="C4B89F"/>
              <w:right w:val="single" w:sz="10" w:space="0" w:color="C4B89F"/>
            </w:tcBorders>
            <w:vAlign w:val="center"/>
          </w:tcPr>
          <w:p>
            <w:pPr>
              <w:spacing w:before="60" w:after="60"/>
              <w:jc w:val="left"/>
            </w:pPr>
            <w:r>
              <w:rPr>
                <w:rFonts w:ascii="Aptos" w:hAnsi="Aptos"/>
                <w:b/>
                <w:i w:val="0"/>
                <w:color w:val="212429"/>
                <w:sz w:val="19"/>
              </w:rPr>
              <w:t>Lane</w:t>
            </w:r>
          </w:p>
        </w:tc>
        <w:tc>
          <w:tcPr>
            <w:tcW w:type="dxa" w:w="3168"/>
            <w:shd w:fill="EFE8DA"/>
            <w:tcBorders>
              <w:top w:val="single" w:sz="10" w:space="0" w:color="C4B89F"/>
              <w:left w:val="single" w:sz="10" w:space="0" w:color="C4B89F"/>
              <w:bottom w:val="single" w:sz="10" w:space="0" w:color="C4B89F"/>
              <w:right w:val="single" w:sz="10" w:space="0" w:color="C4B89F"/>
            </w:tcBorders>
            <w:vAlign w:val="center"/>
          </w:tcPr>
          <w:p>
            <w:pPr>
              <w:spacing w:before="60" w:after="60"/>
              <w:jc w:val="left"/>
            </w:pPr>
            <w:r>
              <w:rPr>
                <w:rFonts w:ascii="Aptos" w:hAnsi="Aptos"/>
                <w:b/>
                <w:i w:val="0"/>
                <w:color w:val="212429"/>
                <w:sz w:val="19"/>
              </w:rPr>
              <w:t>Primary Components</w:t>
            </w:r>
          </w:p>
        </w:tc>
        <w:tc>
          <w:tcPr>
            <w:tcW w:type="dxa" w:w="3168"/>
            <w:shd w:fill="EFE8DA"/>
            <w:tcBorders>
              <w:top w:val="single" w:sz="10" w:space="0" w:color="C4B89F"/>
              <w:left w:val="single" w:sz="10" w:space="0" w:color="C4B89F"/>
              <w:bottom w:val="single" w:sz="10" w:space="0" w:color="C4B89F"/>
              <w:right w:val="single" w:sz="10" w:space="0" w:color="C4B89F"/>
            </w:tcBorders>
            <w:vAlign w:val="center"/>
          </w:tcPr>
          <w:p>
            <w:pPr>
              <w:spacing w:before="60" w:after="60"/>
              <w:jc w:val="left"/>
            </w:pPr>
            <w:r>
              <w:rPr>
                <w:rFonts w:ascii="Aptos" w:hAnsi="Aptos"/>
                <w:b/>
                <w:i w:val="0"/>
                <w:color w:val="212429"/>
                <w:sz w:val="19"/>
              </w:rPr>
              <w:t>Why It Matters</w:t>
            </w:r>
          </w:p>
        </w:tc>
      </w:tr>
      <w:tr>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Normalization</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Adapters + ProjectRouter</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Keeps domain-specific input rules out of the canonical registry core.</w:t>
            </w:r>
          </w:p>
        </w:tc>
      </w:tr>
      <w:tr>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Integrity</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DatasetRegistry + DatasetGraph</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Enforces duplicate protection, finalized-parent rules, and no-branch lineage.</w:t>
            </w:r>
          </w:p>
        </w:tc>
      </w:tr>
      <w:tr>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Consensus</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ValidationModule + Access roles</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Separates validator judgment from auditor-controlled release closure.</w:t>
            </w:r>
          </w:p>
        </w:tc>
      </w:tr>
    </w:tbl>
    <w:p>
      <w:pPr>
        <w:spacing w:before="0" w:after="160"/>
      </w:pPr>
    </w:p>
    <w:p>
      <w:r>
        <w:br w:type="page"/>
      </w:r>
    </w:p>
    <w:p>
      <w:pPr>
        <w:pStyle w:val="DatumXLabel"/>
        <w:spacing w:before="320" w:after="40"/>
      </w:pPr>
      <w:r>
        <w:rPr>
          <w:rFonts w:ascii="Aptos" w:hAnsi="Aptos"/>
          <w:b/>
          <w:i w:val="0"/>
          <w:color w:val="756140"/>
          <w:sz w:val="17"/>
        </w:rPr>
        <w:t>SECTION 01</w:t>
      </w:r>
    </w:p>
    <w:p>
      <w:pPr>
        <w:pStyle w:val="DatumXSectionTitle"/>
        <w:spacing w:before="0" w:after="160"/>
        <w:pBdr>
          <w:bottom w:val="single" w:sz="10" w:space="1" w:color="CBC3B4"/>
        </w:pBdr>
      </w:pPr>
      <w:r>
        <w:rPr>
          <w:rFonts w:ascii="Aptos Display" w:hAnsi="Aptos Display"/>
          <w:b/>
          <w:i w:val="0"/>
          <w:color w:val="212429"/>
          <w:sz w:val="36"/>
        </w:rPr>
        <w:t>Executive Summary</w:t>
      </w:r>
    </w:p>
    <w:tbl>
      <w:tblPr>
        <w:tblW w:type="auto" w:w="0"/>
        <w:jc w:val="left"/>
        <w:tblLayout w:type="autofit"/>
        <w:tblLook w:firstColumn="1" w:firstRow="1" w:lastColumn="0" w:lastRow="0" w:noHBand="0" w:noVBand="1" w:val="04A0"/>
      </w:tblPr>
      <w:tblGrid>
        <w:gridCol w:w="9504"/>
      </w:tblGrid>
      <w:tr>
        <w:tc>
          <w:tcPr>
            <w:tcW w:type="dxa" w:w="9504"/>
            <w:shd w:fill="F5F1E8"/>
            <w:tcBorders>
              <w:top w:val="single" w:sz="12" w:space="0" w:color="BCA98A"/>
              <w:left w:val="single" w:sz="12" w:space="0" w:color="BCA98A"/>
              <w:bottom w:val="single" w:sz="12" w:space="0" w:color="BCA98A"/>
              <w:right w:val="single" w:sz="12" w:space="0" w:color="BCA98A"/>
            </w:tcBorders>
            <w:vAlign w:val="top"/>
          </w:tcPr>
          <w:p>
            <w:pPr>
              <w:spacing w:before="120" w:after="40"/>
            </w:pPr>
            <w:r>
              <w:rPr>
                <w:rFonts w:ascii="Aptos" w:hAnsi="Aptos"/>
                <w:b/>
                <w:i w:val="0"/>
                <w:color w:val="756140"/>
                <w:sz w:val="17"/>
              </w:rPr>
              <w:t>CORE THESIS</w:t>
            </w:r>
          </w:p>
          <w:p>
            <w:pPr>
              <w:pStyle w:val="DatumXCallout"/>
              <w:spacing w:before="0" w:after="160" w:line="269" w:lineRule="auto"/>
            </w:pPr>
            <w:r>
              <w:rPr>
                <w:rFonts w:ascii="Georgia" w:hAnsi="Georgia"/>
                <w:b w:val="0"/>
                <w:i/>
                <w:color w:val="212429"/>
                <w:sz w:val="24"/>
              </w:rPr>
              <w:t>DatumX does not frame industrial data as a storage problem. It frames transformed releases as governed analytical units that need explicit provenance, review, consensus, and closure.</w:t>
            </w:r>
          </w:p>
        </w:tc>
      </w:tr>
    </w:tbl>
    <w:p>
      <w:pPr>
        <w:spacing w:before="0" w:after="80"/>
      </w:pPr>
    </w:p>
    <w:p>
      <w:pPr>
        <w:pStyle w:val="DatumXBody"/>
        <w:spacing w:before="0" w:after="160" w:line="283" w:lineRule="auto"/>
        <w:jc w:val="both"/>
      </w:pPr>
      <w:r>
        <w:rPr>
          <w:rFonts w:ascii="Georgia" w:hAnsi="Georgia"/>
          <w:b w:val="0"/>
          <w:i w:val="0"/>
          <w:color w:val="212429"/>
          <w:sz w:val="22"/>
        </w:rPr>
        <w:t>DatumX is a protocol for verifying the integrity of transformed industrial datasets. It is designed for workflows in which raw field information is not used directly, but is first passed through a chain of extraction, normalization, interpretation, summarization, and targeting steps before it becomes actionable. In mineral exploration, that transformation chain can include digitizing historical drill records, converting analog gamma traces into structured data, interpreting mineralized intervals, building composite summaries, and ultimately generating decision-grade targeting packages. By the time the final output is consumed, the critical question is no longer whether data exists. The critical question is whether the transformed release can be trusted.</w:t>
      </w:r>
    </w:p>
    <w:p>
      <w:pPr>
        <w:pStyle w:val="DatumXBody"/>
        <w:spacing w:before="0" w:after="160" w:line="283" w:lineRule="auto"/>
        <w:jc w:val="both"/>
      </w:pPr>
      <w:r>
        <w:rPr>
          <w:rFonts w:ascii="Georgia" w:hAnsi="Georgia"/>
          <w:b w:val="0"/>
          <w:i w:val="0"/>
          <w:color w:val="212429"/>
          <w:sz w:val="22"/>
        </w:rPr>
        <w:t>That distinction matters because modern industrial data pipelines are increasingly AI-assisted. Computer vision and automated extraction can unlock dormant archives at meaningful scale, but the resulting operational problem is not one of storage. It is one of release integrity. Once a document has been scanned, parsed, cleaned, merged, and interpreted by multiple tools and operators, the technical and economic value of the final dataset depends on provenance, version lineage, validator accountability, and confidence discipline. Without those controls, transformed datasets become difficult to defend in technical review, difficult to compare over time, and risky to use in capital allocation.</w:t>
      </w:r>
    </w:p>
    <w:p>
      <w:pPr>
        <w:pStyle w:val="DatumXBody"/>
        <w:spacing w:before="0" w:after="160" w:line="283" w:lineRule="auto"/>
        <w:jc w:val="both"/>
      </w:pPr>
      <w:r>
        <w:rPr>
          <w:rFonts w:ascii="Georgia" w:hAnsi="Georgia"/>
          <w:b w:val="0"/>
          <w:i w:val="0"/>
          <w:color w:val="212429"/>
          <w:sz w:val="22"/>
        </w:rPr>
        <w:t>DatumX addresses that problem by treating a dataset release as a governed analytical unit rather than a file blob. A release is anchored with a canonical content hash, project identity, dataset stage, parent reference, validator review state, aggregate confidence, and a finalization outcome. Instead of letting lineage remain implicit in folders, spreadsheets, or operator memory, the protocol records and enforces the path a release took to become decision-grade. Instead of assuming that transformed outputs are valid because they came from a sophisticated pipeline, DatumX requires validators to make explicit approval or rejection decisions before an auditor can close the release.</w:t>
      </w:r>
    </w:p>
    <w:p>
      <w:pPr>
        <w:pStyle w:val="DatumXBody"/>
        <w:spacing w:before="0" w:after="160" w:line="283" w:lineRule="auto"/>
        <w:jc w:val="both"/>
      </w:pPr>
      <w:r>
        <w:rPr>
          <w:rFonts w:ascii="Georgia" w:hAnsi="Georgia"/>
          <w:b w:val="0"/>
          <w:i w:val="0"/>
          <w:color w:val="212429"/>
          <w:sz w:val="22"/>
        </w:rPr>
        <w:t>The immediate use case is mineral exploration. The inspiration is a workflow in which 1,211 historical uranium drillholes are digitized from legacy records and converted into structured, interpretable, and ultimately decision-bearing releases. That is a realistic industrial setting for DatumX because it combines three pressures that now routinely appear together: historical data scarcity, AI-assisted transformation, and materially consequential technical decisions. If those transformed releases are going to influence drill targeting, resource definition, or operational prioritization, then they need more than file storage and metadata tags. They need a verifiable release discipline.</w:t>
      </w:r>
    </w:p>
    <w:p>
      <w:pPr>
        <w:pStyle w:val="DatumXBody"/>
        <w:spacing w:before="0" w:after="160" w:line="283" w:lineRule="auto"/>
        <w:jc w:val="both"/>
      </w:pPr>
      <w:r>
        <w:rPr>
          <w:rFonts w:ascii="Georgia" w:hAnsi="Georgia"/>
          <w:b w:val="0"/>
          <w:i w:val="0"/>
          <w:color w:val="212429"/>
          <w:sz w:val="22"/>
        </w:rPr>
        <w:t>The key innovation in DatumX is not "putting geology on-chain." The innovation is creating a protocol boundary around transformed analytical releases. Adapters normalize project-specific inputs into a canonical shape. A router isolates submission logic from project variation. A registry stores the release record and blocks duplicate hashes. A lineage graph enforces deterministic parent-child progression. A validation module captures validator reviews and threshold math. An auditor-only finalization step cleanly separates review from release closure. The result is infrastructure for trusted transformed data, not just a dashboard or a generic smart contract exercise.</w:t>
      </w:r>
    </w:p>
    <w:p>
      <w:pPr>
        <w:pStyle w:val="DatumXBody"/>
        <w:spacing w:before="0" w:after="160" w:line="283" w:lineRule="auto"/>
        <w:jc w:val="both"/>
      </w:pPr>
      <w:r>
        <w:rPr>
          <w:rFonts w:ascii="Georgia" w:hAnsi="Georgia"/>
          <w:b w:val="0"/>
          <w:i w:val="0"/>
          <w:color w:val="212429"/>
          <w:sz w:val="22"/>
        </w:rPr>
        <w:t>DatumX matters now because AI-assisted transformation is becoming normal across industrial data systems, while trust controls for those transformations remain underdeveloped. The protocol's relevance extends beyond one exploration program. Anywhere data moves through multi-stage transformation before becoming operationally meaningful, DatumX's core question remains valid: how do you prove that a transformed release is legitimate, reviewable, and decision-worthy after multiple computational and human interventions have changed it?</w:t>
      </w:r>
    </w:p>
    <w:p>
      <w:pPr>
        <w:pStyle w:val="DatumXLabel"/>
        <w:spacing w:before="320" w:after="40"/>
      </w:pPr>
      <w:r>
        <w:rPr>
          <w:rFonts w:ascii="Aptos" w:hAnsi="Aptos"/>
          <w:b/>
          <w:i w:val="0"/>
          <w:color w:val="756140"/>
          <w:sz w:val="17"/>
        </w:rPr>
        <w:t>SECTION 02</w:t>
      </w:r>
    </w:p>
    <w:p>
      <w:pPr>
        <w:pStyle w:val="DatumXSectionTitle"/>
        <w:spacing w:before="0" w:after="160"/>
        <w:pBdr>
          <w:bottom w:val="single" w:sz="10" w:space="1" w:color="CBC3B4"/>
        </w:pBdr>
      </w:pPr>
      <w:r>
        <w:rPr>
          <w:rFonts w:ascii="Aptos Display" w:hAnsi="Aptos Display"/>
          <w:b/>
          <w:i w:val="0"/>
          <w:color w:val="212429"/>
          <w:sz w:val="36"/>
        </w:rPr>
        <w:t>Industry Context</w:t>
      </w:r>
    </w:p>
    <w:p>
      <w:pPr>
        <w:pStyle w:val="DatumXBody"/>
        <w:spacing w:before="0" w:after="160" w:line="283" w:lineRule="auto"/>
        <w:jc w:val="both"/>
      </w:pPr>
      <w:r>
        <w:rPr>
          <w:rFonts w:ascii="Georgia" w:hAnsi="Georgia"/>
          <w:b w:val="0"/>
          <w:i w:val="0"/>
          <w:color w:val="212429"/>
          <w:sz w:val="22"/>
        </w:rPr>
        <w:t>Mineral exploration has always depended on partial information. Technical teams operate in environments where historical drill campaigns, analog well logs, geophysical traces, field annotations, compositing decisions, and geological interpretations accumulate over years or decades. Much of that information was not created for modern machine-readable systems. It exists in scanned logs, handwritten records, raster trace images, and fragmented internal archives. Even where the underlying information is valuable, the operational friction of extracting it into contemporary analytical workflows is high.</w:t>
      </w:r>
    </w:p>
    <w:p>
      <w:pPr>
        <w:pStyle w:val="DatumXBody"/>
        <w:spacing w:before="0" w:after="160" w:line="283" w:lineRule="auto"/>
        <w:jc w:val="both"/>
      </w:pPr>
      <w:r>
        <w:rPr>
          <w:rFonts w:ascii="Georgia" w:hAnsi="Georgia"/>
          <w:b w:val="0"/>
          <w:i w:val="0"/>
          <w:color w:val="212429"/>
          <w:sz w:val="22"/>
        </w:rPr>
        <w:t>In uranium exploration, particularly in brownfield environments, this problem is especially visible. Exploration teams often inherit large back catalogs of historical drillhole data with uneven formatting, inconsistent logging standards, and mixed provenance quality. Analog gamma traces may carry meaningful signals about mineralization, but if those traces remain trapped in scanned artifacts, they are difficult to use in modern targeting, validation, and resource workflows. The result is that potentially valuable historical information stays underutilized because the cost of turning it into structured analytical input is too high.</w:t>
      </w:r>
    </w:p>
    <w:p>
      <w:pPr>
        <w:pStyle w:val="DatumXBody"/>
        <w:spacing w:before="0" w:after="160" w:line="283" w:lineRule="auto"/>
        <w:jc w:val="both"/>
      </w:pPr>
      <w:r>
        <w:rPr>
          <w:rFonts w:ascii="Georgia" w:hAnsi="Georgia"/>
          <w:b w:val="0"/>
          <w:i w:val="0"/>
          <w:color w:val="212429"/>
          <w:sz w:val="22"/>
        </w:rPr>
        <w:t>AI-driven digitization changes that equation. Computer vision pipelines can extract traces from historical scans. Language and parsing systems can structure records from unstandardized inputs. Model-assisted QA can help identify anomalies, normalize units, and flag gaps. This makes it economically realistic to unlock archives that were previously too expensive to digitize comprehensively. What was once a manual bottleneck becomes a scalable pipeline.</w:t>
      </w:r>
    </w:p>
    <w:p>
      <w:pPr>
        <w:pStyle w:val="DatumXBody"/>
        <w:spacing w:before="0" w:after="160" w:line="283" w:lineRule="auto"/>
        <w:jc w:val="both"/>
      </w:pPr>
      <w:r>
        <w:rPr>
          <w:rFonts w:ascii="Georgia" w:hAnsi="Georgia"/>
          <w:b w:val="0"/>
          <w:i w:val="0"/>
          <w:color w:val="212429"/>
          <w:sz w:val="22"/>
        </w:rPr>
        <w:t>But that shift creates a new class of problem. Once the transformation layer becomes cheap, transformed datasets themselves become core decision inputs. A targeting package derived from digitized historical records is no longer a research convenience; it can influence where a program drills next. A composite summary generated downstream of multiple AI-assisted steps is no longer just internal context; it may shape technical review and capital deployment. The more effective the transformation pipeline becomes, the more important it is to prove that each release is traceable and defensible.</w:t>
      </w:r>
    </w:p>
    <w:p>
      <w:pPr>
        <w:pStyle w:val="DatumXBody"/>
        <w:spacing w:before="0" w:after="160" w:line="283" w:lineRule="auto"/>
        <w:jc w:val="both"/>
      </w:pPr>
      <w:r>
        <w:rPr>
          <w:rFonts w:ascii="Georgia" w:hAnsi="Georgia"/>
          <w:b w:val="0"/>
          <w:i w:val="0"/>
          <w:color w:val="212429"/>
          <w:sz w:val="22"/>
        </w:rPr>
        <w:t>Current systems often fail at that point. Files can be stored, versioned, and shared, but those mechanisms are not the same as release integrity. Shared drives and cloud buckets can preserve documents without preserving analytical lineage. Data warehouses can expose tables without proving which upstream release they came from. Workflow tools can record actions without enforcing whether a child release was built from a finalized parent. Audit logs can capture that something happened without clarifying who approved the release, under what thresholds, and whether the confidence was sufficient for the next decision stage.</w:t>
      </w:r>
    </w:p>
    <w:p>
      <w:pPr>
        <w:pStyle w:val="DatumXBody"/>
        <w:spacing w:before="0" w:after="160" w:line="283" w:lineRule="auto"/>
        <w:jc w:val="both"/>
      </w:pPr>
      <w:r>
        <w:rPr>
          <w:rFonts w:ascii="Georgia" w:hAnsi="Georgia"/>
          <w:b w:val="0"/>
          <w:i w:val="0"/>
          <w:color w:val="212429"/>
          <w:sz w:val="22"/>
        </w:rPr>
        <w:t>This is where the conventional framing of "data management" becomes insufficient. Exploration organizations are not merely managing static records. They are generating transformed analytical products whose credibility depends on reproducibility, lineage discipline, and reviewer accountability. AI has increased the supply of transformable inputs. It has not, by itself, solved the institutional need for trusted release semantics.</w:t>
      </w:r>
    </w:p>
    <w:p>
      <w:pPr>
        <w:pStyle w:val="DatumXBody"/>
        <w:spacing w:before="0" w:after="160" w:line="283" w:lineRule="auto"/>
        <w:jc w:val="both"/>
      </w:pPr>
      <w:r>
        <w:rPr>
          <w:rFonts w:ascii="Georgia" w:hAnsi="Georgia"/>
          <w:b w:val="0"/>
          <w:i w:val="0"/>
          <w:color w:val="212429"/>
          <w:sz w:val="22"/>
        </w:rPr>
        <w:t>DatumX emerges from that shift. It recognizes that modern exploration workflows are increasingly shaped by transformed datasets, not just original records, and that these transformed releases need explicit protocol-level controls if they are going to carry decision weight.</w:t>
      </w:r>
    </w:p>
    <w:p>
      <w:pPr>
        <w:pStyle w:val="DatumXLabel"/>
        <w:spacing w:before="320" w:after="40"/>
      </w:pPr>
      <w:r>
        <w:rPr>
          <w:rFonts w:ascii="Aptos" w:hAnsi="Aptos"/>
          <w:b/>
          <w:i w:val="0"/>
          <w:color w:val="756140"/>
          <w:sz w:val="17"/>
        </w:rPr>
        <w:t>SECTION 03</w:t>
      </w:r>
    </w:p>
    <w:p>
      <w:pPr>
        <w:pStyle w:val="DatumXSectionTitle"/>
        <w:spacing w:before="0" w:after="160"/>
        <w:pBdr>
          <w:bottom w:val="single" w:sz="10" w:space="1" w:color="CBC3B4"/>
        </w:pBdr>
      </w:pPr>
      <w:r>
        <w:rPr>
          <w:rFonts w:ascii="Aptos Display" w:hAnsi="Aptos Display"/>
          <w:b/>
          <w:i w:val="0"/>
          <w:color w:val="212429"/>
          <w:sz w:val="36"/>
        </w:rPr>
        <w:t>Problem Definition</w:t>
      </w:r>
    </w:p>
    <w:p>
      <w:pPr>
        <w:pStyle w:val="DatumXBody"/>
        <w:spacing w:before="0" w:after="160" w:line="283" w:lineRule="auto"/>
        <w:jc w:val="both"/>
      </w:pPr>
      <w:r>
        <w:rPr>
          <w:rFonts w:ascii="Georgia" w:hAnsi="Georgia"/>
          <w:b w:val="0"/>
          <w:i w:val="0"/>
          <w:color w:val="212429"/>
          <w:sz w:val="22"/>
        </w:rPr>
        <w:t>The real problem DatumX addresses is trust in transformed datasets.</w:t>
      </w:r>
    </w:p>
    <w:p>
      <w:pPr>
        <w:pStyle w:val="DatumXBody"/>
        <w:spacing w:before="0" w:after="160" w:line="283" w:lineRule="auto"/>
        <w:jc w:val="both"/>
      </w:pPr>
      <w:r>
        <w:rPr>
          <w:rFonts w:ascii="Georgia" w:hAnsi="Georgia"/>
          <w:b w:val="0"/>
          <w:i w:val="0"/>
          <w:color w:val="212429"/>
          <w:sz w:val="22"/>
        </w:rPr>
        <w:t>That problem begins with the structure of the modern pipeline. Data does not move directly from original source to final decision. It moves through stages. A raw scan batch becomes extracted traces. Extracted traces become interpreted mineralized intervals. Intervals may become composite summaries. Composite summaries may feed targeting packages. Each stage introduces new computation, new assumptions, new quality controls, and new opportunities for divergence between what was originally observed and what is now being consumed.</w:t>
      </w:r>
    </w:p>
    <w:p>
      <w:pPr>
        <w:pStyle w:val="DatumXBody"/>
        <w:spacing w:before="0" w:after="160" w:line="283" w:lineRule="auto"/>
        <w:jc w:val="both"/>
      </w:pPr>
      <w:r>
        <w:rPr>
          <w:rFonts w:ascii="Georgia" w:hAnsi="Georgia"/>
          <w:b w:val="0"/>
          <w:i w:val="0"/>
          <w:color w:val="212429"/>
          <w:sz w:val="22"/>
        </w:rPr>
        <w:t>In that multi-stage environment, storing files is not enough. A technically serious system must answer at least five questions for every release.</w:t>
      </w:r>
    </w:p>
    <w:p>
      <w:pPr>
        <w:pStyle w:val="DatumXBody"/>
        <w:spacing w:before="0" w:after="160" w:line="283" w:lineRule="auto"/>
        <w:jc w:val="both"/>
      </w:pPr>
      <w:r>
        <w:rPr>
          <w:rFonts w:ascii="Georgia" w:hAnsi="Georgia"/>
          <w:b w:val="0"/>
          <w:i w:val="0"/>
          <w:color w:val="212429"/>
          <w:sz w:val="22"/>
        </w:rPr>
        <w:t>First, what exactly was submitted? Second, what prior release did it derive from? Third, who reviewed it, and did they approve or reject it? Fourth, what aggregate confidence did the release achieve? Fifth, was the release actually finalized for downstream use, or was it merely present in the system?</w:t>
      </w:r>
    </w:p>
    <w:p>
      <w:pPr>
        <w:pStyle w:val="DatumXBody"/>
        <w:spacing w:before="0" w:after="160" w:line="283" w:lineRule="auto"/>
        <w:jc w:val="both"/>
      </w:pPr>
      <w:r>
        <w:rPr>
          <w:rFonts w:ascii="Georgia" w:hAnsi="Georgia"/>
          <w:b w:val="0"/>
          <w:i w:val="0"/>
          <w:color w:val="212429"/>
          <w:sz w:val="22"/>
        </w:rPr>
        <w:t>Without those answers, organizations operate on weak substitutes. They rely on naming conventions, version folders, email chains, and institutional memory. Those tools are common because they are easy to adopt, but they break down under pressure. When multiple transformed releases exist for the same project, it becomes difficult to prove which one is current. When a downstream package is generated from an upstream package that was never actually approved, the lineage problem may remain invisible until a technical review exposes it. When multiple reviewers have different opinions, there may be no durable consensus record. When an AI pipeline changes behavior or configuration, there may be no canonical release boundary that shows where one transformation state ended and the next began.</w:t>
      </w:r>
    </w:p>
    <w:p>
      <w:pPr>
        <w:pStyle w:val="DatumXBody"/>
        <w:spacing w:before="0" w:after="160" w:line="283" w:lineRule="auto"/>
        <w:jc w:val="both"/>
      </w:pPr>
      <w:r>
        <w:rPr>
          <w:rFonts w:ascii="Georgia" w:hAnsi="Georgia"/>
          <w:b w:val="0"/>
          <w:i w:val="0"/>
          <w:color w:val="212429"/>
          <w:sz w:val="22"/>
        </w:rPr>
        <w:t>The consequence is not merely clerical confusion. The consequence is decision risk. Exploration capital is allocated based on technical interpretation. If the transformed data behind those interpretations is ambiguous, capital discipline weakens. A model can be technically sophisticated and still produce outputs that are difficult to defend because the release history is not explicit. The question then becomes less about model quality and more about whether the system around the model can prove what happened.</w:t>
      </w:r>
    </w:p>
    <w:p>
      <w:pPr>
        <w:pStyle w:val="DatumXBody"/>
        <w:spacing w:before="0" w:after="160" w:line="283" w:lineRule="auto"/>
        <w:jc w:val="both"/>
      </w:pPr>
      <w:r>
        <w:rPr>
          <w:rFonts w:ascii="Georgia" w:hAnsi="Georgia"/>
          <w:b w:val="0"/>
          <w:i w:val="0"/>
          <w:color w:val="212429"/>
          <w:sz w:val="22"/>
        </w:rPr>
        <w:t>DatumX defines the problem narrowly enough to be tractable and broadly enough to matter. It does not attempt to validate the geology itself. It does not pretend that on-chain logic can certify truth in the physical world. Instead, it focuses on a specific systems problem: whether a transformed dataset has a defensible provenance, a coherent lineage, an accountable review record, and a finalization state appropriate for downstream use. That is the problem that repeatedly appears in AI-assisted industrial data pipelines, and it is the one DatumX is built to solve.</w:t>
      </w:r>
    </w:p>
    <w:p>
      <w:pPr>
        <w:pStyle w:val="DatumXLabel"/>
        <w:spacing w:before="320" w:after="40"/>
      </w:pPr>
      <w:r>
        <w:rPr>
          <w:rFonts w:ascii="Aptos" w:hAnsi="Aptos"/>
          <w:b/>
          <w:i w:val="0"/>
          <w:color w:val="756140"/>
          <w:sz w:val="17"/>
        </w:rPr>
        <w:t>SECTION 04</w:t>
      </w:r>
    </w:p>
    <w:p>
      <w:pPr>
        <w:pStyle w:val="DatumXSectionTitle"/>
        <w:spacing w:before="0" w:after="160"/>
        <w:pBdr>
          <w:bottom w:val="single" w:sz="10" w:space="1" w:color="CBC3B4"/>
        </w:pBdr>
      </w:pPr>
      <w:r>
        <w:rPr>
          <w:rFonts w:ascii="Aptos Display" w:hAnsi="Aptos Display"/>
          <w:b/>
          <w:i w:val="0"/>
          <w:color w:val="212429"/>
          <w:sz w:val="36"/>
        </w:rPr>
        <w:t>DatumX Architecture Overview</w:t>
      </w:r>
    </w:p>
    <w:p>
      <w:pPr>
        <w:pStyle w:val="DatumXLabel"/>
        <w:spacing w:before="120" w:after="80"/>
      </w:pPr>
      <w:r>
        <w:rPr>
          <w:rFonts w:ascii="Aptos" w:hAnsi="Aptos"/>
          <w:b/>
          <w:i w:val="0"/>
          <w:color w:val="756140"/>
          <w:sz w:val="17"/>
        </w:rPr>
        <w:t>ARCHITECTURE AT A GLANCE</w:t>
      </w:r>
    </w:p>
    <w:tbl>
      <w:tblPr>
        <w:tblStyle w:val="TableGrid"/>
        <w:tblW w:type="auto" w:w="0"/>
        <w:jc w:val="left"/>
        <w:tblLayout w:type="autofit"/>
        <w:tblLook w:firstColumn="1" w:firstRow="1" w:lastColumn="0" w:lastRow="0" w:noHBand="0" w:noVBand="1" w:val="04A0"/>
      </w:tblPr>
      <w:tblGrid>
        <w:gridCol w:w="3168"/>
        <w:gridCol w:w="3168"/>
        <w:gridCol w:w="3168"/>
      </w:tblGrid>
      <w:tr>
        <w:tc>
          <w:tcPr>
            <w:tcW w:type="dxa" w:w="3168"/>
            <w:shd w:fill="EFE8DA"/>
            <w:tcBorders>
              <w:top w:val="single" w:sz="10" w:space="0" w:color="C4B89F"/>
              <w:left w:val="single" w:sz="10" w:space="0" w:color="C4B89F"/>
              <w:bottom w:val="single" w:sz="10" w:space="0" w:color="C4B89F"/>
              <w:right w:val="single" w:sz="10" w:space="0" w:color="C4B89F"/>
            </w:tcBorders>
            <w:vAlign w:val="center"/>
          </w:tcPr>
          <w:p>
            <w:pPr>
              <w:spacing w:before="60" w:after="60"/>
              <w:jc w:val="left"/>
            </w:pPr>
            <w:r>
              <w:rPr>
                <w:rFonts w:ascii="Aptos" w:hAnsi="Aptos"/>
                <w:b/>
                <w:i w:val="0"/>
                <w:color w:val="212429"/>
                <w:sz w:val="19"/>
              </w:rPr>
              <w:t>Lane</w:t>
            </w:r>
          </w:p>
        </w:tc>
        <w:tc>
          <w:tcPr>
            <w:tcW w:type="dxa" w:w="3168"/>
            <w:shd w:fill="EFE8DA"/>
            <w:tcBorders>
              <w:top w:val="single" w:sz="10" w:space="0" w:color="C4B89F"/>
              <w:left w:val="single" w:sz="10" w:space="0" w:color="C4B89F"/>
              <w:bottom w:val="single" w:sz="10" w:space="0" w:color="C4B89F"/>
              <w:right w:val="single" w:sz="10" w:space="0" w:color="C4B89F"/>
            </w:tcBorders>
            <w:vAlign w:val="center"/>
          </w:tcPr>
          <w:p>
            <w:pPr>
              <w:spacing w:before="60" w:after="60"/>
              <w:jc w:val="left"/>
            </w:pPr>
            <w:r>
              <w:rPr>
                <w:rFonts w:ascii="Aptos" w:hAnsi="Aptos"/>
                <w:b/>
                <w:i w:val="0"/>
                <w:color w:val="212429"/>
                <w:sz w:val="19"/>
              </w:rPr>
              <w:t>Primary Role</w:t>
            </w:r>
          </w:p>
        </w:tc>
        <w:tc>
          <w:tcPr>
            <w:tcW w:type="dxa" w:w="3168"/>
            <w:shd w:fill="EFE8DA"/>
            <w:tcBorders>
              <w:top w:val="single" w:sz="10" w:space="0" w:color="C4B89F"/>
              <w:left w:val="single" w:sz="10" w:space="0" w:color="C4B89F"/>
              <w:bottom w:val="single" w:sz="10" w:space="0" w:color="C4B89F"/>
              <w:right w:val="single" w:sz="10" w:space="0" w:color="C4B89F"/>
            </w:tcBorders>
            <w:vAlign w:val="center"/>
          </w:tcPr>
          <w:p>
            <w:pPr>
              <w:spacing w:before="60" w:after="60"/>
              <w:jc w:val="left"/>
            </w:pPr>
            <w:r>
              <w:rPr>
                <w:rFonts w:ascii="Aptos" w:hAnsi="Aptos"/>
                <w:b/>
                <w:i w:val="0"/>
                <w:color w:val="212429"/>
                <w:sz w:val="19"/>
              </w:rPr>
              <w:t>Why It Exists</w:t>
            </w:r>
          </w:p>
        </w:tc>
      </w:tr>
      <w:tr>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Adapter Layer</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Normalizes project-specific submissions</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Prevents domain-specific ingestion logic from leaking into the registry core.</w:t>
            </w:r>
          </w:p>
        </w:tc>
      </w:tr>
      <w:tr>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Protocol Layer</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Stores canonical releases and lineage</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Defines what counts as a valid, traceable, governed dataset release.</w:t>
            </w:r>
          </w:p>
        </w:tc>
      </w:tr>
      <w:tr>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Validation Layer</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Captures review, confidence, and closure</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Turns technical judgment into explicit release legitimacy.</w:t>
            </w:r>
          </w:p>
        </w:tc>
      </w:tr>
    </w:tbl>
    <w:p>
      <w:pPr>
        <w:spacing w:before="0" w:after="160"/>
      </w:pPr>
    </w:p>
    <w:p>
      <w:pPr>
        <w:pStyle w:val="DatumXBody"/>
        <w:spacing w:before="0" w:after="160" w:line="283" w:lineRule="auto"/>
        <w:jc w:val="both"/>
      </w:pPr>
      <w:r>
        <w:rPr>
          <w:rFonts w:ascii="Georgia" w:hAnsi="Georgia"/>
          <w:b w:val="0"/>
          <w:i w:val="0"/>
          <w:color w:val="212429"/>
          <w:sz w:val="22"/>
        </w:rPr>
        <w:t>At a high level, DatumX is composed of five operational layers: a protocol layer, an adapter layer, a validator layer, a frontend console, and a deployment environment on XRPL EVM. Each layer exists to isolate a distinct kind of responsibility.</w:t>
      </w:r>
    </w:p>
    <w:p>
      <w:pPr>
        <w:pStyle w:val="DatumXBody"/>
        <w:spacing w:before="0" w:after="160" w:line="283" w:lineRule="auto"/>
        <w:jc w:val="both"/>
      </w:pPr>
      <w:r>
        <w:rPr>
          <w:rFonts w:ascii="Georgia" w:hAnsi="Georgia"/>
          <w:b w:val="0"/>
          <w:i w:val="0"/>
          <w:color w:val="212429"/>
          <w:sz w:val="22"/>
        </w:rPr>
        <w:t>The protocol layer is the core of the system. It defines projects, dataset registration, lineage, reviews, thresholds, and finalization. It does not try to understand every domain-specific nuance of each project's source data. That responsibility is delegated outward.</w:t>
      </w:r>
    </w:p>
    <w:p>
      <w:pPr>
        <w:pStyle w:val="DatumXBody"/>
        <w:spacing w:before="0" w:after="160" w:line="283" w:lineRule="auto"/>
        <w:jc w:val="both"/>
      </w:pPr>
      <w:r>
        <w:rPr>
          <w:rFonts w:ascii="Georgia" w:hAnsi="Georgia"/>
          <w:b w:val="0"/>
          <w:i w:val="0"/>
          <w:color w:val="212429"/>
          <w:sz w:val="22"/>
        </w:rPr>
        <w:t>The adapter layer is the normalization boundary. Each project can have project-specific submission rules, naming conventions, record-count minimums, and payload expectations. Adapters are responsible for receiving a typed payload and returning a canonical dataset input. This keeps project-specific normalization out of the registry core and prevents the registry from becoming a collection of one-off conditionals.</w:t>
      </w:r>
    </w:p>
    <w:p>
      <w:pPr>
        <w:pStyle w:val="DatumXBody"/>
        <w:spacing w:before="0" w:after="160" w:line="283" w:lineRule="auto"/>
        <w:jc w:val="both"/>
      </w:pPr>
      <w:r>
        <w:rPr>
          <w:rFonts w:ascii="Georgia" w:hAnsi="Georgia"/>
          <w:b w:val="0"/>
          <w:i w:val="0"/>
          <w:color w:val="212429"/>
          <w:sz w:val="22"/>
        </w:rPr>
        <w:t>The validator layer is the human accountability boundary. Validators can submit reviews. They do not finalize releases. Their role is to produce explicit review judgments, including approval state and confidence. The protocol aggregates those judgments against thresholds.</w:t>
      </w:r>
    </w:p>
    <w:p>
      <w:pPr>
        <w:pStyle w:val="DatumXBody"/>
        <w:spacing w:before="0" w:after="160" w:line="283" w:lineRule="auto"/>
        <w:jc w:val="both"/>
      </w:pPr>
      <w:r>
        <w:rPr>
          <w:rFonts w:ascii="Georgia" w:hAnsi="Georgia"/>
          <w:b w:val="0"/>
          <w:i w:val="0"/>
          <w:color w:val="212429"/>
          <w:sz w:val="22"/>
        </w:rPr>
        <w:t>The frontend console is the inspection surface. The Resource Integrity Console is not merely a transaction UI. It is designed to show lineage, audit events, thresholds, validator posture, and release state in a way that makes the protocol legible to operators and reviewers.</w:t>
      </w:r>
    </w:p>
    <w:p>
      <w:pPr>
        <w:pStyle w:val="DatumXBody"/>
        <w:spacing w:before="0" w:after="160" w:line="283" w:lineRule="auto"/>
        <w:jc w:val="both"/>
      </w:pPr>
      <w:r>
        <w:rPr>
          <w:rFonts w:ascii="Georgia" w:hAnsi="Georgia"/>
          <w:b w:val="0"/>
          <w:i w:val="0"/>
          <w:color w:val="212429"/>
          <w:sz w:val="22"/>
        </w:rPr>
        <w:t>The XRPL EVM deployment environment provides an execution environment with realistic wallet flow, transaction finality, and cost characteristics without requiring Ethereum mainnet economics for an early-stage protocol.</w:t>
      </w:r>
    </w:p>
    <w:p>
      <w:pPr>
        <w:pStyle w:val="DatumXBody"/>
        <w:spacing w:before="0" w:after="160" w:line="283" w:lineRule="auto"/>
        <w:jc w:val="both"/>
      </w:pPr>
      <w:r>
        <w:rPr>
          <w:rFonts w:ascii="Georgia" w:hAnsi="Georgia"/>
          <w:b w:val="0"/>
          <w:i w:val="0"/>
          <w:color w:val="212429"/>
          <w:sz w:val="22"/>
        </w:rPr>
        <w:t>A useful conceptual diagram is to think of DatumX as a release pipeline with two kinds of boundaries. The first boundary is normalization: project-specific raw inputs must be transformed into a canonical dataset payload before they enter the core system. The second boundary is release legitimacy: once the payload enters the system, it cannot become decision-grade until the protocol's lineage and validation rules have been satisfied.</w:t>
      </w:r>
    </w:p>
    <w:p>
      <w:pPr>
        <w:pStyle w:val="DatumXBody"/>
        <w:spacing w:before="0" w:after="160" w:line="283" w:lineRule="auto"/>
        <w:jc w:val="both"/>
      </w:pPr>
      <w:r>
        <w:rPr>
          <w:rFonts w:ascii="Georgia" w:hAnsi="Georgia"/>
          <w:b w:val="0"/>
          <w:i w:val="0"/>
          <w:color w:val="212429"/>
          <w:sz w:val="22"/>
        </w:rPr>
        <w:t>A second conceptual diagram is to think of the architecture as a three-lane corridor. The left lane is ingestion and normalization. The center lane is canonical registration and lineage. The right lane is validation and finalization. The frontend runs above those lanes, exposing state and trust signals, while the deployment environment runs below them, handling wallet and chain execution.</w:t>
      </w:r>
    </w:p>
    <w:p>
      <w:pPr>
        <w:pStyle w:val="DatumXBody"/>
        <w:spacing w:before="0" w:after="160" w:line="283" w:lineRule="auto"/>
        <w:jc w:val="both"/>
      </w:pPr>
      <w:r>
        <w:rPr>
          <w:rFonts w:ascii="Georgia" w:hAnsi="Georgia"/>
          <w:b w:val="0"/>
          <w:i w:val="0"/>
          <w:color w:val="212429"/>
          <w:sz w:val="22"/>
        </w:rPr>
        <w:t>This architectural separation is central to DatumX's credibility. A common failure mode in protocol-adjacent applications is that everything happens everywhere: domain normalization leaks into registry logic, frontend assumptions become substitutes for protocol invariants, and validation state becomes a soft UI concept rather than a protocol boundary. DatumX avoids that by keeping responsibilities relatively clean.</w:t>
      </w:r>
    </w:p>
    <w:p>
      <w:pPr>
        <w:pStyle w:val="DatumXLabel"/>
        <w:spacing w:before="320" w:after="40"/>
      </w:pPr>
      <w:r>
        <w:rPr>
          <w:rFonts w:ascii="Aptos" w:hAnsi="Aptos"/>
          <w:b/>
          <w:i w:val="0"/>
          <w:color w:val="756140"/>
          <w:sz w:val="17"/>
        </w:rPr>
        <w:t>SECTION 05</w:t>
      </w:r>
    </w:p>
    <w:p>
      <w:pPr>
        <w:pStyle w:val="DatumXSectionTitle"/>
        <w:spacing w:before="0" w:after="160"/>
        <w:pBdr>
          <w:bottom w:val="single" w:sz="10" w:space="1" w:color="CBC3B4"/>
        </w:pBdr>
      </w:pPr>
      <w:r>
        <w:rPr>
          <w:rFonts w:ascii="Aptos Display" w:hAnsi="Aptos Display"/>
          <w:b/>
          <w:i w:val="0"/>
          <w:color w:val="212429"/>
          <w:sz w:val="36"/>
        </w:rPr>
        <w:t>Core Protocol Design</w:t>
      </w:r>
    </w:p>
    <w:p>
      <w:pPr>
        <w:pStyle w:val="DatumXBody"/>
        <w:spacing w:before="0" w:after="160" w:line="283" w:lineRule="auto"/>
        <w:jc w:val="both"/>
      </w:pPr>
      <w:r>
        <w:rPr>
          <w:rFonts w:ascii="Georgia" w:hAnsi="Georgia"/>
          <w:b w:val="0"/>
          <w:i w:val="0"/>
          <w:color w:val="212429"/>
          <w:sz w:val="22"/>
        </w:rPr>
        <w:t>The current core contracts are DatasetRegistry, DatasetGraph, ValidationModule, ProjectRegistry, and ProjectRouter, supported by DrillProofAccess, shared types, events, errors, and hashing libraries.</w:t>
      </w:r>
    </w:p>
    <w:p>
      <w:pPr>
        <w:pStyle w:val="DatumXBody"/>
        <w:spacing w:before="0" w:after="160" w:line="283" w:lineRule="auto"/>
        <w:jc w:val="both"/>
      </w:pPr>
      <w:r>
        <w:rPr>
          <w:rFonts w:ascii="Georgia" w:hAnsi="Georgia"/>
          <w:b w:val="0"/>
          <w:i w:val="0"/>
          <w:color w:val="212429"/>
          <w:sz w:val="22"/>
        </w:rPr>
        <w:t>ProjectRegistry exists to define the universe of valid projects. A project is not just a label; it carries metadata and an adapter binding. The registry enforces that a project key is real, that the project exists, and that the configured adapter declares the same expected project key. This matters because project identity is part of the trust boundary. If an adapter intended for one project could be silently bound to another, the normalization layer would lose integrity immediately.</w:t>
      </w:r>
    </w:p>
    <w:p>
      <w:pPr>
        <w:pStyle w:val="DatumXBody"/>
        <w:spacing w:before="0" w:after="160" w:line="283" w:lineRule="auto"/>
        <w:jc w:val="both"/>
      </w:pPr>
      <w:r>
        <w:rPr>
          <w:rFonts w:ascii="Georgia" w:hAnsi="Georgia"/>
          <w:b w:val="0"/>
          <w:i w:val="0"/>
          <w:color w:val="212429"/>
          <w:sz w:val="22"/>
        </w:rPr>
        <w:t>ProjectRouter exists because the protocol should have one submission entry point. Instead of letting callers write directly into the registry, the router resolves the correct adapter for a project and requests a canonical dataset input from it. Only after the adapter returns a valid normalized payload does the router forward the dataset into the registry. That separation is important for two reasons. It keeps project-specific logic out of the registry, and it allows the protocol to define a clean boundary where normalization ends and canonical registration begins.</w:t>
      </w:r>
    </w:p>
    <w:p>
      <w:pPr>
        <w:pStyle w:val="DatumXBody"/>
        <w:spacing w:before="0" w:after="160" w:line="283" w:lineRule="auto"/>
        <w:jc w:val="both"/>
      </w:pPr>
      <w:r>
        <w:rPr>
          <w:rFonts w:ascii="Georgia" w:hAnsi="Georgia"/>
          <w:b w:val="0"/>
          <w:i w:val="0"/>
          <w:color w:val="212429"/>
          <w:sz w:val="22"/>
        </w:rPr>
        <w:t>DatasetRegistry is the protocol's release record. It stores the dataset's canonical content hash, stage, status, parent hash, counts, submitter, timestamps, and aggregated review outcomes. It also blocks duplicate submissions by content hash, ensures the project is still active, and enforces lineage rules before a child can be recorded. The registry is not passive storage. It is the place where the protocol decides whether a proposed release even belongs in the system.</w:t>
      </w:r>
    </w:p>
    <w:p>
      <w:pPr>
        <w:pStyle w:val="DatumXBody"/>
        <w:spacing w:before="0" w:after="160" w:line="283" w:lineRule="auto"/>
        <w:jc w:val="both"/>
      </w:pPr>
      <w:r>
        <w:rPr>
          <w:rFonts w:ascii="Georgia" w:hAnsi="Georgia"/>
          <w:b w:val="0"/>
          <w:i w:val="0"/>
          <w:color w:val="212429"/>
          <w:sz w:val="22"/>
        </w:rPr>
        <w:t>DatasetGraph handles the parent-child topology. The implementation is intentionally simple: a child points to one parent, and a parent can enumerate children. On top of that, the protocol can resolve ancestry. The design choice here is not sophistication for its own sake. DatumX is explicitly choosing deterministic lineage over generalized graph flexibility. That makes reasoning about release progression easier and audit semantics stronger.</w:t>
      </w:r>
    </w:p>
    <w:p>
      <w:pPr>
        <w:pStyle w:val="DatumXBody"/>
        <w:spacing w:before="0" w:after="160" w:line="283" w:lineRule="auto"/>
        <w:jc w:val="both"/>
      </w:pPr>
      <w:r>
        <w:rPr>
          <w:rFonts w:ascii="Georgia" w:hAnsi="Georgia"/>
          <w:b w:val="0"/>
          <w:i w:val="0"/>
          <w:color w:val="212429"/>
          <w:sz w:val="22"/>
        </w:rPr>
        <w:t>ValidationModule captures review and finalization logic. Validators submit reviews against a dataset ID with an approval boolean, a confidence score, and a review URI. The module enforces one review per validator per dataset and aggregates approvals, rejections, and average confidence. Once enough reviews exist, the dataset resolves to approved or rejected. Finalization is then available only through an auditor role, and only if the dataset is approved and still satisfies the configured thresholds.</w:t>
      </w:r>
    </w:p>
    <w:p>
      <w:pPr>
        <w:pStyle w:val="DatumXBody"/>
        <w:spacing w:before="0" w:after="160" w:line="283" w:lineRule="auto"/>
        <w:jc w:val="both"/>
      </w:pPr>
      <w:r>
        <w:rPr>
          <w:rFonts w:ascii="Georgia" w:hAnsi="Georgia"/>
          <w:b w:val="0"/>
          <w:i w:val="0"/>
          <w:color w:val="212429"/>
          <w:sz w:val="22"/>
        </w:rPr>
        <w:t>The data flow through these contracts is straightforward. A submission begins at ProjectRouter.submitDataset. The router resolves the project, verifies that it is active, calls the project adapter, and receives a canonical dataset input. The registry records that release if the payload is valid, unique, and consistent with lineage. Validators then submit reviews to ValidationModule.submitReview. The validation module pushes updated aggregate state back into the registry. If the dataset reaches approved status and still satisfies thresholds, an auditor can call finalizeDataset.</w:t>
      </w:r>
    </w:p>
    <w:p>
      <w:pPr>
        <w:pStyle w:val="DatumXBody"/>
        <w:spacing w:before="0" w:after="160" w:line="283" w:lineRule="auto"/>
        <w:jc w:val="both"/>
      </w:pPr>
      <w:r>
        <w:rPr>
          <w:rFonts w:ascii="Georgia" w:hAnsi="Georgia"/>
          <w:b w:val="0"/>
          <w:i w:val="0"/>
          <w:color w:val="212429"/>
          <w:sz w:val="22"/>
        </w:rPr>
        <w:t>Each contract exists because the protocol must remain inspectable. If project routing, lineage, and review aggregation were collapsed into one contract, the code would still work, but the system would become harder to reason about. DatumX favors a modular arrangement because the system is about proving release integrity, and proof becomes weaker when responsibilities blur.</w:t>
      </w:r>
    </w:p>
    <w:p>
      <w:pPr>
        <w:pStyle w:val="DatumXLabel"/>
        <w:spacing w:before="320" w:after="40"/>
      </w:pPr>
      <w:r>
        <w:rPr>
          <w:rFonts w:ascii="Aptos" w:hAnsi="Aptos"/>
          <w:b/>
          <w:i w:val="0"/>
          <w:color w:val="756140"/>
          <w:sz w:val="17"/>
        </w:rPr>
        <w:t>SECTION 06</w:t>
      </w:r>
    </w:p>
    <w:p>
      <w:pPr>
        <w:pStyle w:val="DatumXSectionTitle"/>
        <w:spacing w:before="0" w:after="160"/>
        <w:pBdr>
          <w:bottom w:val="single" w:sz="10" w:space="1" w:color="CBC3B4"/>
        </w:pBdr>
      </w:pPr>
      <w:r>
        <w:rPr>
          <w:rFonts w:ascii="Aptos Display" w:hAnsi="Aptos Display"/>
          <w:b/>
          <w:i w:val="0"/>
          <w:color w:val="212429"/>
          <w:sz w:val="36"/>
        </w:rPr>
        <w:t>Adapter Model (Key Innovation)</w:t>
      </w:r>
    </w:p>
    <w:tbl>
      <w:tblPr>
        <w:tblW w:type="auto" w:w="0"/>
        <w:jc w:val="left"/>
        <w:tblLayout w:type="autofit"/>
        <w:tblLook w:firstColumn="1" w:firstRow="1" w:lastColumn="0" w:lastRow="0" w:noHBand="0" w:noVBand="1" w:val="04A0"/>
      </w:tblPr>
      <w:tblGrid>
        <w:gridCol w:w="9504"/>
      </w:tblGrid>
      <w:tr>
        <w:tc>
          <w:tcPr>
            <w:tcW w:type="dxa" w:w="9504"/>
            <w:shd w:fill="F5F1E8"/>
            <w:tcBorders>
              <w:top w:val="single" w:sz="12" w:space="0" w:color="BCA98A"/>
              <w:left w:val="single" w:sz="12" w:space="0" w:color="BCA98A"/>
              <w:bottom w:val="single" w:sz="12" w:space="0" w:color="BCA98A"/>
              <w:right w:val="single" w:sz="12" w:space="0" w:color="BCA98A"/>
            </w:tcBorders>
            <w:vAlign w:val="top"/>
          </w:tcPr>
          <w:p>
            <w:pPr>
              <w:spacing w:before="120" w:after="40"/>
            </w:pPr>
            <w:r>
              <w:rPr>
                <w:rFonts w:ascii="Aptos" w:hAnsi="Aptos"/>
                <w:b/>
                <w:i w:val="0"/>
                <w:color w:val="756140"/>
                <w:sz w:val="17"/>
              </w:rPr>
              <w:t>KEY INNOVATION</w:t>
            </w:r>
          </w:p>
          <w:p>
            <w:pPr>
              <w:pStyle w:val="DatumXCallout"/>
              <w:spacing w:before="0" w:after="160" w:line="269" w:lineRule="auto"/>
            </w:pPr>
            <w:r>
              <w:rPr>
                <w:rFonts w:ascii="Georgia" w:hAnsi="Georgia"/>
                <w:b w:val="0"/>
                <w:i/>
                <w:color w:val="212429"/>
                <w:sz w:val="24"/>
              </w:rPr>
              <w:t>The adapter boundary is where project-specific messiness becomes canonical release structure. That separation keeps the protocol core strict while letting each project normalize its own inputs.</w:t>
            </w:r>
          </w:p>
        </w:tc>
      </w:tr>
    </w:tbl>
    <w:p>
      <w:pPr>
        <w:spacing w:before="0" w:after="80"/>
      </w:pPr>
    </w:p>
    <w:p>
      <w:pPr>
        <w:pStyle w:val="DatumXBody"/>
        <w:spacing w:before="0" w:after="160" w:line="283" w:lineRule="auto"/>
        <w:jc w:val="both"/>
      </w:pPr>
      <w:r>
        <w:rPr>
          <w:rFonts w:ascii="Georgia" w:hAnsi="Georgia"/>
          <w:b w:val="0"/>
          <w:i w:val="0"/>
          <w:color w:val="212429"/>
          <w:sz w:val="22"/>
        </w:rPr>
        <w:t>The adapter model is the most important design decision in DatumX besides the validation boundary itself.</w:t>
      </w:r>
    </w:p>
    <w:p>
      <w:pPr>
        <w:pStyle w:val="DatumXBody"/>
        <w:spacing w:before="0" w:after="160" w:line="283" w:lineRule="auto"/>
        <w:jc w:val="both"/>
      </w:pPr>
      <w:r>
        <w:rPr>
          <w:rFonts w:ascii="Georgia" w:hAnsi="Georgia"/>
          <w:b w:val="0"/>
          <w:i w:val="0"/>
          <w:color w:val="212429"/>
          <w:sz w:val="22"/>
        </w:rPr>
        <w:t>Industrial projects are not homogeneous. Even when the protocol's release semantics are shared, the shape of upstream submissions is project-specific. Submission identifiers may use different prefixes. Minimum record-count expectations may differ. Certain projects may carry distinct assumptions about what constitutes a valid transformed package. If the protocol core attempted to absorb all of those differences directly, it would either become brittle or devolve into a large conditional dispatch system.</w:t>
      </w:r>
    </w:p>
    <w:p>
      <w:pPr>
        <w:pStyle w:val="DatumXBody"/>
        <w:spacing w:before="0" w:after="160" w:line="283" w:lineRule="auto"/>
        <w:jc w:val="both"/>
      </w:pPr>
      <w:r>
        <w:rPr>
          <w:rFonts w:ascii="Georgia" w:hAnsi="Georgia"/>
          <w:b w:val="0"/>
          <w:i w:val="0"/>
          <w:color w:val="212429"/>
          <w:sz w:val="22"/>
        </w:rPr>
        <w:t>DatumX solves that by making adapters explicit first-class components. Every project points to a specific adapter. Each adapter receives the same typed AdapterPayload, plus the project key, URI, parent hash, and submitter context. The adapter validates project-specific constraints and returns a CanonicalDatasetInput.</w:t>
      </w:r>
    </w:p>
    <w:p>
      <w:pPr>
        <w:pStyle w:val="DatumXBody"/>
        <w:spacing w:before="0" w:after="160" w:line="283" w:lineRule="auto"/>
        <w:jc w:val="both"/>
      </w:pPr>
      <w:r>
        <w:rPr>
          <w:rFonts w:ascii="Georgia" w:hAnsi="Georgia"/>
          <w:b w:val="0"/>
          <w:i w:val="0"/>
          <w:color w:val="212429"/>
          <w:sz w:val="22"/>
        </w:rPr>
        <w:t>This is more important than it initially appears. A typed payload gives the system a stable contract between ingestion and registration. The payload already contains the fields that matter for trust: dataset type, schema version, record count, claimed confidence, source hash, transform hash, and submission ID. The adapter's job is not to invent meaning from arbitrary calldata. Its job is to validate a project-specific typed submission and normalize it into canonical form.</w:t>
      </w:r>
    </w:p>
    <w:p>
      <w:pPr>
        <w:pStyle w:val="DatumXBody"/>
        <w:spacing w:before="0" w:after="160" w:line="283" w:lineRule="auto"/>
        <w:jc w:val="both"/>
      </w:pPr>
      <w:r>
        <w:rPr>
          <w:rFonts w:ascii="Georgia" w:hAnsi="Georgia"/>
          <w:b w:val="0"/>
          <w:i w:val="0"/>
          <w:color w:val="212429"/>
          <w:sz w:val="22"/>
        </w:rPr>
        <w:t>The included adapters for Duck Creek, Shirley Central, and Shirley East demonstrate that pattern. They inherit from a base adapter that enforces generic rules: project key consistency, non-empty URI, nonzero schema version, valid confidence bounds, a minimum record count, valid stage enum bounds, and a submission prefix. The concrete adapter then adds project-specific validation by overriding _validateProjectSpecific.</w:t>
      </w:r>
    </w:p>
    <w:p>
      <w:pPr>
        <w:pStyle w:val="DatumXBody"/>
        <w:spacing w:before="0" w:after="160" w:line="283" w:lineRule="auto"/>
        <w:jc w:val="both"/>
      </w:pPr>
      <w:r>
        <w:rPr>
          <w:rFonts w:ascii="Georgia" w:hAnsi="Georgia"/>
          <w:b w:val="0"/>
          <w:i w:val="0"/>
          <w:color w:val="212429"/>
          <w:sz w:val="22"/>
        </w:rPr>
        <w:t>The benefit of this model is separation of concerns. The core protocol can remain strict and reusable, while domain-specific conditions stay local to the project boundary. That makes expansion more realistic. A future adapter for another uranium program or another industrial domain would not require rewriting registry or validation logic. It would need only to prove that it can transform its local conventions into DatumX's canonical release model.</w:t>
      </w:r>
    </w:p>
    <w:p>
      <w:pPr>
        <w:pStyle w:val="DatumXBody"/>
        <w:spacing w:before="0" w:after="160" w:line="283" w:lineRule="auto"/>
        <w:jc w:val="both"/>
      </w:pPr>
      <w:r>
        <w:rPr>
          <w:rFonts w:ascii="Georgia" w:hAnsi="Georgia"/>
          <w:b w:val="0"/>
          <w:i w:val="0"/>
          <w:color w:val="212429"/>
          <w:sz w:val="22"/>
        </w:rPr>
        <w:t>This is also where the V4 to V5 correction becomes meaningful. Archived pre-V5 verification artifacts show a looser protocol state in which lineage progression and release semantics were materially less strict. V5's typed AdapterPayload boundary and stricter canonical rules reinforce that normalization is a protocol concern, not a UI convention. The point is not merely that the payload is typed. The point is that typed project submissions create a cleaner, inspectable contract between upstream transformation and downstream governance.</w:t>
      </w:r>
    </w:p>
    <w:p>
      <w:pPr>
        <w:pStyle w:val="DatumXBody"/>
        <w:spacing w:before="0" w:after="160" w:line="283" w:lineRule="auto"/>
        <w:jc w:val="both"/>
      </w:pPr>
      <w:r>
        <w:rPr>
          <w:rFonts w:ascii="Georgia" w:hAnsi="Georgia"/>
          <w:b w:val="0"/>
          <w:i w:val="0"/>
          <w:color w:val="212429"/>
          <w:sz w:val="22"/>
        </w:rPr>
        <w:t>In practical terms, the adapter model allows DatumX to say: every project can preserve its own normalization logic, but no project gets its own release semantics. That is exactly the separation needed in industrial settings where data sources vary, but release integrity requirements should not.</w:t>
      </w:r>
    </w:p>
    <w:p>
      <w:pPr>
        <w:pStyle w:val="DatumXBody"/>
        <w:spacing w:before="0" w:after="160" w:line="283" w:lineRule="auto"/>
        <w:jc w:val="both"/>
      </w:pPr>
      <w:r>
        <w:rPr>
          <w:rFonts w:ascii="Georgia" w:hAnsi="Georgia"/>
          <w:b w:val="0"/>
          <w:i w:val="0"/>
          <w:color w:val="212429"/>
          <w:sz w:val="22"/>
        </w:rPr>
        <w:t>The archived V4/V4.5 verification snapshot is useful because it shows the shape of the earlier compromise. In that earlier verified snapshot, lineage acceptance was looser: a child could proceed from a parent that was merely approved, lineage did not enforce a no-branch rule, and stage progression relied on a broader monotonic rule rather than exact next-stage advancement. In other words, the old system could still register releases, but it was more permissive about how those releases advanced. That permissiveness is exactly the kind of subtle architectural looseness that becomes dangerous in production, because it allows ambiguity to survive behind otherwise clean interfaces.</w:t>
      </w:r>
    </w:p>
    <w:p>
      <w:pPr>
        <w:pStyle w:val="DatumXBody"/>
        <w:spacing w:before="0" w:after="160" w:line="283" w:lineRule="auto"/>
        <w:jc w:val="both"/>
      </w:pPr>
      <w:r>
        <w:rPr>
          <w:rFonts w:ascii="Georgia" w:hAnsi="Georgia"/>
          <w:b w:val="0"/>
          <w:i w:val="0"/>
          <w:color w:val="212429"/>
          <w:sz w:val="22"/>
        </w:rPr>
        <w:t>V5 corrects that by tightening the release boundary. The typed AdapterPayload gives the protocol a clear, stable submission contract. The canonical dataset input generated by the adapter becomes the only acceptable substrate for dataset registration. The registry then enforces finalized-parent, same-project, single-child, and exact-next-stage rules. This is not a cosmetic cleanup. It changes the meaning of lineage from "a recorded relation" to "a deterministic release progression." That is a substantial shift in protocol posture, and it is one of the reasons V5 is worth describing as a real improvement rather than a mere redeployment.</w:t>
      </w:r>
    </w:p>
    <w:p>
      <w:pPr>
        <w:pStyle w:val="DatumXLabel"/>
        <w:spacing w:before="320" w:after="40"/>
      </w:pPr>
      <w:r>
        <w:rPr>
          <w:rFonts w:ascii="Aptos" w:hAnsi="Aptos"/>
          <w:b/>
          <w:i w:val="0"/>
          <w:color w:val="756140"/>
          <w:sz w:val="17"/>
        </w:rPr>
        <w:t>SECTION 07</w:t>
      </w:r>
    </w:p>
    <w:p>
      <w:pPr>
        <w:pStyle w:val="DatumXSectionTitle"/>
        <w:spacing w:before="0" w:after="160"/>
        <w:pBdr>
          <w:bottom w:val="single" w:sz="10" w:space="1" w:color="CBC3B4"/>
        </w:pBdr>
      </w:pPr>
      <w:r>
        <w:rPr>
          <w:rFonts w:ascii="Aptos Display" w:hAnsi="Aptos Display"/>
          <w:b/>
          <w:i w:val="0"/>
          <w:color w:val="212429"/>
          <w:sz w:val="36"/>
        </w:rPr>
        <w:t>Dataset Lifecycle Model</w:t>
      </w:r>
    </w:p>
    <w:p>
      <w:pPr>
        <w:pStyle w:val="DatumXLabel"/>
        <w:spacing w:before="120" w:after="80"/>
      </w:pPr>
      <w:r>
        <w:rPr>
          <w:rFonts w:ascii="Aptos" w:hAnsi="Aptos"/>
          <w:b/>
          <w:i w:val="0"/>
          <w:color w:val="756140"/>
          <w:sz w:val="17"/>
        </w:rPr>
        <w:t>DATASET LIFECYCLE MODEL</w:t>
      </w:r>
    </w:p>
    <w:tbl>
      <w:tblPr>
        <w:tblStyle w:val="TableGrid"/>
        <w:tblW w:type="auto" w:w="0"/>
        <w:jc w:val="left"/>
        <w:tblLayout w:type="autofit"/>
        <w:tblLook w:firstColumn="1" w:firstRow="1" w:lastColumn="0" w:lastRow="0" w:noHBand="0" w:noVBand="1" w:val="04A0"/>
      </w:tblPr>
      <w:tblGrid>
        <w:gridCol w:w="3168"/>
        <w:gridCol w:w="3168"/>
        <w:gridCol w:w="3168"/>
      </w:tblGrid>
      <w:tr>
        <w:tc>
          <w:tcPr>
            <w:tcW w:type="dxa" w:w="3168"/>
            <w:shd w:fill="EFE8DA"/>
            <w:tcBorders>
              <w:top w:val="single" w:sz="10" w:space="0" w:color="C4B89F"/>
              <w:left w:val="single" w:sz="10" w:space="0" w:color="C4B89F"/>
              <w:bottom w:val="single" w:sz="10" w:space="0" w:color="C4B89F"/>
              <w:right w:val="single" w:sz="10" w:space="0" w:color="C4B89F"/>
            </w:tcBorders>
            <w:vAlign w:val="center"/>
          </w:tcPr>
          <w:p>
            <w:pPr>
              <w:spacing w:before="60" w:after="60"/>
              <w:jc w:val="left"/>
            </w:pPr>
            <w:r>
              <w:rPr>
                <w:rFonts w:ascii="Aptos" w:hAnsi="Aptos"/>
                <w:b/>
                <w:i w:val="0"/>
                <w:color w:val="212429"/>
                <w:sz w:val="19"/>
              </w:rPr>
              <w:t>Stage</w:t>
            </w:r>
          </w:p>
        </w:tc>
        <w:tc>
          <w:tcPr>
            <w:tcW w:type="dxa" w:w="3168"/>
            <w:shd w:fill="EFE8DA"/>
            <w:tcBorders>
              <w:top w:val="single" w:sz="10" w:space="0" w:color="C4B89F"/>
              <w:left w:val="single" w:sz="10" w:space="0" w:color="C4B89F"/>
              <w:bottom w:val="single" w:sz="10" w:space="0" w:color="C4B89F"/>
              <w:right w:val="single" w:sz="10" w:space="0" w:color="C4B89F"/>
            </w:tcBorders>
            <w:vAlign w:val="center"/>
          </w:tcPr>
          <w:p>
            <w:pPr>
              <w:spacing w:before="60" w:after="60"/>
              <w:jc w:val="left"/>
            </w:pPr>
            <w:r>
              <w:rPr>
                <w:rFonts w:ascii="Aptos" w:hAnsi="Aptos"/>
                <w:b/>
                <w:i w:val="0"/>
                <w:color w:val="212429"/>
                <w:sz w:val="19"/>
              </w:rPr>
              <w:t>Required Gate</w:t>
            </w:r>
          </w:p>
        </w:tc>
        <w:tc>
          <w:tcPr>
            <w:tcW w:type="dxa" w:w="3168"/>
            <w:shd w:fill="EFE8DA"/>
            <w:tcBorders>
              <w:top w:val="single" w:sz="10" w:space="0" w:color="C4B89F"/>
              <w:left w:val="single" w:sz="10" w:space="0" w:color="C4B89F"/>
              <w:bottom w:val="single" w:sz="10" w:space="0" w:color="C4B89F"/>
              <w:right w:val="single" w:sz="10" w:space="0" w:color="C4B89F"/>
            </w:tcBorders>
            <w:vAlign w:val="center"/>
          </w:tcPr>
          <w:p>
            <w:pPr>
              <w:spacing w:before="60" w:after="60"/>
              <w:jc w:val="left"/>
            </w:pPr>
            <w:r>
              <w:rPr>
                <w:rFonts w:ascii="Aptos" w:hAnsi="Aptos"/>
                <w:b/>
                <w:i w:val="0"/>
                <w:color w:val="212429"/>
                <w:sz w:val="19"/>
              </w:rPr>
              <w:t>Result</w:t>
            </w:r>
          </w:p>
        </w:tc>
      </w:tr>
      <w:tr>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Submission</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Canonical payload accepted</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A release enters the registry with project, stage, and lineage context.</w:t>
            </w:r>
          </w:p>
        </w:tc>
      </w:tr>
      <w:tr>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Validation</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Validator-only reviews recorded</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Approval, rejection, and confidence become explicit and auditable.</w:t>
            </w:r>
          </w:p>
        </w:tc>
      </w:tr>
      <w:tr>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Finalization</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Auditor closes approved release</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The dataset becomes a finalized parent eligible for the next stage.</w:t>
            </w:r>
          </w:p>
        </w:tc>
      </w:tr>
      <w:tr>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Supersession</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Next-stage child is created</w:t>
            </w:r>
          </w:p>
        </w:tc>
        <w:tc>
          <w:tcPr>
            <w:tcW w:type="dxa" w:w="3168"/>
            <w:tcBorders>
              <w:top w:val="single" w:sz="8" w:space="0" w:color="D4CCBF"/>
              <w:left w:val="single" w:sz="8" w:space="0" w:color="D4CCBF"/>
              <w:bottom w:val="single" w:sz="8" w:space="0" w:color="D4CCBF"/>
              <w:right w:val="single" w:sz="8" w:space="0" w:color="D4CCBF"/>
            </w:tcBorders>
            <w:vAlign w:val="top"/>
          </w:tcPr>
          <w:p>
            <w:pPr>
              <w:spacing w:before="60" w:after="60" w:line="259" w:lineRule="auto"/>
              <w:jc w:val="left"/>
            </w:pPr>
            <w:r>
              <w:rPr>
                <w:rFonts w:ascii="Georgia" w:hAnsi="Georgia"/>
                <w:b w:val="0"/>
                <w:i w:val="0"/>
                <w:color w:val="212429"/>
                <w:sz w:val="21"/>
              </w:rPr>
              <w:t>Lineage remains deterministic and branch-free.</w:t>
            </w:r>
          </w:p>
        </w:tc>
      </w:tr>
    </w:tbl>
    <w:p>
      <w:pPr>
        <w:spacing w:before="0" w:after="160"/>
      </w:pPr>
    </w:p>
    <w:p>
      <w:pPr>
        <w:pStyle w:val="DatumXBody"/>
        <w:spacing w:before="0" w:after="160" w:line="283" w:lineRule="auto"/>
        <w:jc w:val="both"/>
      </w:pPr>
      <w:r>
        <w:rPr>
          <w:rFonts w:ascii="Georgia" w:hAnsi="Georgia"/>
          <w:b w:val="0"/>
          <w:i w:val="0"/>
          <w:color w:val="212429"/>
          <w:sz w:val="22"/>
        </w:rPr>
        <w:t>DatumX's lifecycle is intentionally explicit. A dataset begins as a submission, enters review, may become approved or rejected, may be finalized, and may later serve as the parent for the next stage. The protocol does not attempt to model every possible operational nuance, but it models the release states that matter.</w:t>
      </w:r>
    </w:p>
    <w:p>
      <w:pPr>
        <w:pStyle w:val="DatumXBody"/>
        <w:spacing w:before="0" w:after="160" w:line="283" w:lineRule="auto"/>
        <w:jc w:val="both"/>
      </w:pPr>
      <w:r>
        <w:rPr>
          <w:rFonts w:ascii="Georgia" w:hAnsi="Georgia"/>
          <w:b w:val="0"/>
          <w:i w:val="0"/>
          <w:color w:val="212429"/>
          <w:sz w:val="22"/>
        </w:rPr>
        <w:t>The current on-chain states are PENDING, UNDER_REVIEW, APPROVED, REJECTED, and FINALIZED.</w:t>
      </w:r>
    </w:p>
    <w:p>
      <w:pPr>
        <w:pStyle w:val="DatumXBody"/>
        <w:spacing w:before="0" w:after="160" w:line="283" w:lineRule="auto"/>
        <w:jc w:val="both"/>
      </w:pPr>
      <w:r>
        <w:rPr>
          <w:rFonts w:ascii="Georgia" w:hAnsi="Georgia"/>
          <w:b w:val="0"/>
          <w:i w:val="0"/>
          <w:color w:val="212429"/>
          <w:sz w:val="22"/>
        </w:rPr>
        <w:t>Submission starts with a canonical payload entering the registry. At this point the dataset is PENDING. It exists, it is hashed, it is anchored, and it has a defined project and stage. It is not yet decision-grade.</w:t>
      </w:r>
    </w:p>
    <w:p>
      <w:pPr>
        <w:pStyle w:val="DatumXBody"/>
        <w:spacing w:before="0" w:after="160" w:line="283" w:lineRule="auto"/>
        <w:jc w:val="both"/>
      </w:pPr>
      <w:r>
        <w:rPr>
          <w:rFonts w:ascii="Georgia" w:hAnsi="Georgia"/>
          <w:b w:val="0"/>
          <w:i w:val="0"/>
          <w:color w:val="212429"/>
          <w:sz w:val="22"/>
        </w:rPr>
        <w:t>Once a validator submits the first review, the dataset moves to UNDER_REVIEW. At this point the protocol has evidence that review is live, but not enough aggregate judgment to resolve the release.</w:t>
      </w:r>
    </w:p>
    <w:p>
      <w:pPr>
        <w:pStyle w:val="DatumXBody"/>
        <w:spacing w:before="0" w:after="160" w:line="283" w:lineRule="auto"/>
        <w:jc w:val="both"/>
      </w:pPr>
      <w:r>
        <w:rPr>
          <w:rFonts w:ascii="Georgia" w:hAnsi="Georgia"/>
          <w:b w:val="0"/>
          <w:i w:val="0"/>
          <w:color w:val="212429"/>
          <w:sz w:val="22"/>
        </w:rPr>
        <w:t>When the number of reviews reaches the configured minimum validator count, the validation module evaluates approval ratio and aggregate confidence. If the release meets both thresholds, it becomes APPROVED. If not, it becomes REJECTED.</w:t>
      </w:r>
    </w:p>
    <w:p>
      <w:pPr>
        <w:pStyle w:val="DatumXBody"/>
        <w:spacing w:before="0" w:after="160" w:line="283" w:lineRule="auto"/>
        <w:jc w:val="both"/>
      </w:pPr>
      <w:r>
        <w:rPr>
          <w:rFonts w:ascii="Georgia" w:hAnsi="Georgia"/>
          <w:b w:val="0"/>
          <w:i w:val="0"/>
          <w:color w:val="212429"/>
          <w:sz w:val="22"/>
        </w:rPr>
        <w:t>APPROVED still does not mean the release is closed. That is intentional. DatumX separates approval from finalization to preserve operational discipline. A release can satisfy validator thresholds and still require auditor action to close the release.</w:t>
      </w:r>
    </w:p>
    <w:p>
      <w:pPr>
        <w:pStyle w:val="DatumXBody"/>
        <w:spacing w:before="0" w:after="160" w:line="283" w:lineRule="auto"/>
        <w:jc w:val="both"/>
      </w:pPr>
      <w:r>
        <w:rPr>
          <w:rFonts w:ascii="Georgia" w:hAnsi="Georgia"/>
          <w:b w:val="0"/>
          <w:i w:val="0"/>
          <w:color w:val="212429"/>
          <w:sz w:val="22"/>
        </w:rPr>
        <w:t>FINALIZED is the state that allows deterministic progression. A child release may reference a parent only if the parent has already been finalized. This is one of the key discipline mechanisms in the system. It prevents downstream lineage from advancing on merely provisional approval.</w:t>
      </w:r>
    </w:p>
    <w:p>
      <w:pPr>
        <w:pStyle w:val="DatumXBody"/>
        <w:spacing w:before="0" w:after="160" w:line="283" w:lineRule="auto"/>
        <w:jc w:val="both"/>
      </w:pPr>
      <w:r>
        <w:rPr>
          <w:rFonts w:ascii="Georgia" w:hAnsi="Georgia"/>
          <w:b w:val="0"/>
          <w:i w:val="0"/>
          <w:color w:val="212429"/>
          <w:sz w:val="22"/>
        </w:rPr>
        <w:t>Supersession is not modeled as a free-form replacement process inside the core contracts. Instead, progression is expressed through deterministic parent-child linkage. A new release is not "version 2 of the same thing" in a loose sense. It is the next defined stage derived from a finalized parent, and that progression becomes part of the lineage.</w:t>
      </w:r>
    </w:p>
    <w:p>
      <w:pPr>
        <w:pStyle w:val="DatumXBody"/>
        <w:spacing w:before="0" w:after="160" w:line="283" w:lineRule="auto"/>
        <w:jc w:val="both"/>
      </w:pPr>
      <w:r>
        <w:rPr>
          <w:rFonts w:ascii="Georgia" w:hAnsi="Georgia"/>
          <w:b w:val="0"/>
          <w:i w:val="0"/>
          <w:color w:val="212429"/>
          <w:sz w:val="22"/>
        </w:rPr>
        <w:t>Failure modes are equally important. A submission can fail because the project is inactive, the adapter is not configured, the payload is malformed, the content hash already exists, the parent does not exist, the parent belongs to another project, the parent is not finalized, the stage progression skips forward, or the lineage attempts to branch. A review can fail because the reviewer is not a validator, the review URI is empty, confidence is out of bounds, the dataset is already closed, or the validator has already reviewed that dataset. Finalization can fail because the caller is not an auditor or because the dataset is not actually finalization-eligible.</w:t>
      </w:r>
    </w:p>
    <w:p>
      <w:pPr>
        <w:pStyle w:val="DatumXBody"/>
        <w:spacing w:before="0" w:after="160" w:line="283" w:lineRule="auto"/>
        <w:jc w:val="both"/>
      </w:pPr>
      <w:r>
        <w:rPr>
          <w:rFonts w:ascii="Georgia" w:hAnsi="Georgia"/>
          <w:b w:val="0"/>
          <w:i w:val="0"/>
          <w:color w:val="212429"/>
          <w:sz w:val="22"/>
        </w:rPr>
        <w:t>This explicit lifecycle is not protocol ornamentation. It is the core of DatumX's claim to seriousness. If transformed releases are going to influence operational decisions, then state transitions must be explicit enough that a technical reviewer can tell whether a release is merely present, currently contested, approved but not closed, or finalized for downstream use.</w:t>
      </w:r>
    </w:p>
    <w:p>
      <w:pPr>
        <w:pStyle w:val="DatumXLabel"/>
        <w:spacing w:before="320" w:after="40"/>
      </w:pPr>
      <w:r>
        <w:rPr>
          <w:rFonts w:ascii="Aptos" w:hAnsi="Aptos"/>
          <w:b/>
          <w:i w:val="0"/>
          <w:color w:val="756140"/>
          <w:sz w:val="17"/>
        </w:rPr>
        <w:t>SECTION 08</w:t>
      </w:r>
    </w:p>
    <w:p>
      <w:pPr>
        <w:pStyle w:val="DatumXSectionTitle"/>
        <w:spacing w:before="0" w:after="160"/>
        <w:pBdr>
          <w:bottom w:val="single" w:sz="10" w:space="1" w:color="CBC3B4"/>
        </w:pBdr>
      </w:pPr>
      <w:r>
        <w:rPr>
          <w:rFonts w:ascii="Aptos Display" w:hAnsi="Aptos Display"/>
          <w:b/>
          <w:i w:val="0"/>
          <w:color w:val="212429"/>
          <w:sz w:val="36"/>
        </w:rPr>
        <w:t>Validation + Consensus System</w:t>
      </w:r>
    </w:p>
    <w:tbl>
      <w:tblPr>
        <w:tblW w:type="auto" w:w="0"/>
        <w:jc w:val="left"/>
        <w:tblLayout w:type="autofit"/>
        <w:tblLook w:firstColumn="1" w:firstRow="1" w:lastColumn="0" w:lastRow="0" w:noHBand="0" w:noVBand="1" w:val="04A0"/>
      </w:tblPr>
      <w:tblGrid>
        <w:gridCol w:w="9504"/>
      </w:tblGrid>
      <w:tr>
        <w:tc>
          <w:tcPr>
            <w:tcW w:type="dxa" w:w="9504"/>
            <w:shd w:fill="F5F1E8"/>
            <w:tcBorders>
              <w:top w:val="single" w:sz="12" w:space="0" w:color="BCA98A"/>
              <w:left w:val="single" w:sz="12" w:space="0" w:color="BCA98A"/>
              <w:bottom w:val="single" w:sz="12" w:space="0" w:color="BCA98A"/>
              <w:right w:val="single" w:sz="12" w:space="0" w:color="BCA98A"/>
            </w:tcBorders>
            <w:vAlign w:val="top"/>
          </w:tcPr>
          <w:p>
            <w:pPr>
              <w:spacing w:before="120" w:after="40"/>
            </w:pPr>
            <w:r>
              <w:rPr>
                <w:rFonts w:ascii="Aptos" w:hAnsi="Aptos"/>
                <w:b/>
                <w:i w:val="0"/>
                <w:color w:val="756140"/>
                <w:sz w:val="17"/>
              </w:rPr>
              <w:t>ROLE SEPARATION</w:t>
            </w:r>
          </w:p>
          <w:p>
            <w:pPr>
              <w:pStyle w:val="DatumXCallout"/>
              <w:spacing w:before="0" w:after="160" w:line="269" w:lineRule="auto"/>
            </w:pPr>
            <w:r>
              <w:rPr>
                <w:rFonts w:ascii="Georgia" w:hAnsi="Georgia"/>
                <w:b w:val="0"/>
                <w:i/>
                <w:color w:val="212429"/>
                <w:sz w:val="24"/>
              </w:rPr>
              <w:t>Validator-only reviews and auditor-only finalization split technical judgment from release closure. That separation is one of DatumX's strongest integrity decisions.</w:t>
            </w:r>
          </w:p>
        </w:tc>
      </w:tr>
    </w:tbl>
    <w:p>
      <w:pPr>
        <w:spacing w:before="0" w:after="80"/>
      </w:pPr>
    </w:p>
    <w:p>
      <w:pPr>
        <w:pStyle w:val="DatumXBody"/>
        <w:spacing w:before="0" w:after="160" w:line="283" w:lineRule="auto"/>
        <w:jc w:val="both"/>
      </w:pPr>
      <w:r>
        <w:rPr>
          <w:rFonts w:ascii="Georgia" w:hAnsi="Georgia"/>
          <w:b w:val="0"/>
          <w:i w:val="0"/>
          <w:color w:val="212429"/>
          <w:sz w:val="22"/>
        </w:rPr>
        <w:t>DatumX's validation system is built around role separation and threshold aggregation rather than maximal decentralization theater. Validators are explicitly permissioned. They submit structured review judgments. The protocol aggregates those judgments using configurable thresholds. Auditors finalize approved releases.</w:t>
      </w:r>
    </w:p>
    <w:p>
      <w:pPr>
        <w:pStyle w:val="DatumXBody"/>
        <w:spacing w:before="0" w:after="160" w:line="283" w:lineRule="auto"/>
        <w:jc w:val="both"/>
      </w:pPr>
      <w:r>
        <w:rPr>
          <w:rFonts w:ascii="Georgia" w:hAnsi="Georgia"/>
          <w:b w:val="0"/>
          <w:i w:val="0"/>
          <w:color w:val="212429"/>
          <w:sz w:val="22"/>
        </w:rPr>
        <w:t>The validator role exists because the system is optimizing for accountable technical review, not anonymous voting. In exploration workflows, reviewers are typically known entities: technical staff, QA operators, domain specialists, or designated external reviewers. The value of their role comes from explicit participation and auditable judgment, not from pretending that validator identity is irrelevant.</w:t>
      </w:r>
    </w:p>
    <w:p>
      <w:pPr>
        <w:pStyle w:val="DatumXBody"/>
        <w:spacing w:before="0" w:after="160" w:line="283" w:lineRule="auto"/>
        <w:jc w:val="both"/>
      </w:pPr>
      <w:r>
        <w:rPr>
          <w:rFonts w:ascii="Georgia" w:hAnsi="Georgia"/>
          <w:b w:val="0"/>
          <w:i w:val="0"/>
          <w:color w:val="212429"/>
          <w:sz w:val="22"/>
        </w:rPr>
        <w:t>Each review contains four meaningful components: dataset target, approval or rejection, confidence score, and a review URI. The confidence score matters because an approval without confidence discipline is only partially informative. A reviewer can agree with a release in principle while signaling lower certainty in its readiness. Aggregating that signal matters in settings where operational decisions should reflect not just majority direction but also the quality of conviction behind the release.</w:t>
      </w:r>
    </w:p>
    <w:p>
      <w:pPr>
        <w:pStyle w:val="DatumXBody"/>
        <w:spacing w:before="0" w:after="160" w:line="283" w:lineRule="auto"/>
        <w:jc w:val="both"/>
      </w:pPr>
      <w:r>
        <w:rPr>
          <w:rFonts w:ascii="Georgia" w:hAnsi="Georgia"/>
          <w:b w:val="0"/>
          <w:i w:val="0"/>
          <w:color w:val="212429"/>
          <w:sz w:val="22"/>
        </w:rPr>
        <w:t>The protocol's aggregation logic is intentionally simple. Once enough reviews exist, it computes approval ratio and average confidence. If approval ratio and aggregate confidence both exceed thresholds, the release becomes approved. Otherwise it becomes rejected. The system is not trying to encode the entire social process of technical review. It is encoding the minimum logic required for a release decision to be explicit and inspectable.</w:t>
      </w:r>
    </w:p>
    <w:p>
      <w:pPr>
        <w:pStyle w:val="DatumXBody"/>
        <w:spacing w:before="0" w:after="160" w:line="283" w:lineRule="auto"/>
        <w:jc w:val="both"/>
      </w:pPr>
      <w:r>
        <w:rPr>
          <w:rFonts w:ascii="Georgia" w:hAnsi="Georgia"/>
          <w:b w:val="0"/>
          <w:i w:val="0"/>
          <w:color w:val="212429"/>
          <w:sz w:val="22"/>
        </w:rPr>
        <w:t>The tradeoff is clear. A more decentralized system might allow open participation, but would weaken accountability and complicate trust assumptions. A more centralized system might be faster, but would collapse review legitimacy into administrative fiat. DatumX chooses a middle path appropriate for its domain: permissioned validators, explicit review records, configurable thresholds, and an auditor-only finalization gate.</w:t>
      </w:r>
    </w:p>
    <w:p>
      <w:pPr>
        <w:pStyle w:val="DatumXBody"/>
        <w:spacing w:before="0" w:after="160" w:line="283" w:lineRule="auto"/>
        <w:jc w:val="both"/>
      </w:pPr>
      <w:r>
        <w:rPr>
          <w:rFonts w:ascii="Georgia" w:hAnsi="Georgia"/>
          <w:b w:val="0"/>
          <w:i w:val="0"/>
          <w:color w:val="212429"/>
          <w:sz w:val="22"/>
        </w:rPr>
        <w:t>Speed versus accuracy is another deliberate tradeoff. Higher validator thresholds slow release closure but improve confidence in the result. Lower thresholds increase throughput but reduce review redundancy. The protocol exposes threshold configuration to the admin role because this tradeoff may vary by environment. The XRPL fast-path smoke exercise demonstrates that the thresholds can be temporarily lowered for testnet verification, but the canonical restored threshold state remains 3 / 6667 / 7000, which reflects the intended live posture rather than the temporary test posture.</w:t>
      </w:r>
    </w:p>
    <w:p>
      <w:pPr>
        <w:pStyle w:val="DatumXBody"/>
        <w:spacing w:before="0" w:after="160" w:line="283" w:lineRule="auto"/>
        <w:jc w:val="both"/>
      </w:pPr>
      <w:r>
        <w:rPr>
          <w:rFonts w:ascii="Georgia" w:hAnsi="Georgia"/>
          <w:b w:val="0"/>
          <w:i w:val="0"/>
          <w:color w:val="212429"/>
          <w:sz w:val="22"/>
        </w:rPr>
        <w:t>The important point is that DatumX treats validation as a structured release discipline. Reviews are not comments. They are protocol actions. Confidence is not decorative metadata. It contributes to eligibility. Finalization is not automatic after majority approval. It is a separate closure step. Together these choices produce a validation system that is modest in mechanism but strong in interpretability.</w:t>
      </w:r>
    </w:p>
    <w:p>
      <w:pPr>
        <w:pStyle w:val="DatumXBody"/>
        <w:spacing w:before="0" w:after="160" w:line="283" w:lineRule="auto"/>
        <w:jc w:val="both"/>
      </w:pPr>
      <w:r>
        <w:rPr>
          <w:rFonts w:ascii="Georgia" w:hAnsi="Georgia"/>
          <w:b w:val="0"/>
          <w:i w:val="0"/>
          <w:color w:val="212429"/>
          <w:sz w:val="22"/>
        </w:rPr>
        <w:t>This also clarifies role separation in operational terms. Validators are allowed to influence outcome but not to close releases. Auditors are allowed to close releases but only after validator judgment has already satisfied protocol thresholds. Administrators can alter thresholds and registry bindings, but they do not get to bypass the release-state machine. That separation is valuable because it removes a common ambiguity in industrial systems: whether the same actor who configures policy can also unilaterally mint legitimacy. DatumX's answer is no. Policy can be configured centrally, but release legitimacy still has to pass through review and auditor closure.</w:t>
      </w:r>
    </w:p>
    <w:p>
      <w:pPr>
        <w:pStyle w:val="DatumXLabel"/>
        <w:spacing w:before="320" w:after="40"/>
      </w:pPr>
      <w:r>
        <w:rPr>
          <w:rFonts w:ascii="Aptos" w:hAnsi="Aptos"/>
          <w:b/>
          <w:i w:val="0"/>
          <w:color w:val="756140"/>
          <w:sz w:val="17"/>
        </w:rPr>
        <w:t>SECTION 09</w:t>
      </w:r>
    </w:p>
    <w:p>
      <w:pPr>
        <w:pStyle w:val="DatumXSectionTitle"/>
        <w:spacing w:before="0" w:after="160"/>
        <w:pBdr>
          <w:bottom w:val="single" w:sz="10" w:space="1" w:color="CBC3B4"/>
        </w:pBdr>
      </w:pPr>
      <w:r>
        <w:rPr>
          <w:rFonts w:ascii="Aptos Display" w:hAnsi="Aptos Display"/>
          <w:b/>
          <w:i w:val="0"/>
          <w:color w:val="212429"/>
          <w:sz w:val="36"/>
        </w:rPr>
        <w:t>Security + Integrity Model</w:t>
      </w:r>
    </w:p>
    <w:p>
      <w:pPr>
        <w:pStyle w:val="DatumXBody"/>
        <w:spacing w:before="0" w:after="160" w:line="283" w:lineRule="auto"/>
        <w:jc w:val="both"/>
      </w:pPr>
      <w:r>
        <w:rPr>
          <w:rFonts w:ascii="Georgia" w:hAnsi="Georgia"/>
          <w:b w:val="0"/>
          <w:i w:val="0"/>
          <w:color w:val="212429"/>
          <w:sz w:val="22"/>
        </w:rPr>
        <w:t>DatumX is not a trustless oracle for industrial truth. Its security model is about protecting release integrity inside a defined operational system. That means the relevant attack surfaces are the points where release semantics could be spoofed, bypassed, or confused.</w:t>
      </w:r>
    </w:p>
    <w:p>
      <w:pPr>
        <w:pStyle w:val="DatumXBody"/>
        <w:spacing w:before="0" w:after="160" w:line="283" w:lineRule="auto"/>
        <w:jc w:val="both"/>
      </w:pPr>
      <w:r>
        <w:rPr>
          <w:rFonts w:ascii="Georgia" w:hAnsi="Georgia"/>
          <w:b w:val="0"/>
          <w:i w:val="0"/>
          <w:color w:val="212429"/>
          <w:sz w:val="22"/>
        </w:rPr>
        <w:t>One obvious risk is dataset spoofing. If a malicious actor could inject arbitrary canonical datasets into the registry, then the protocol would lose meaning immediately. DatumX mitigates that by restricting canonical submissions to the configured router and by validating canonical fields in the registry itself. The registry does not trust the caller blindly, even when the caller is the router. It rejects malformed canonical data, empty hashes, empty URIs, zero schema versions, and invalid confidence ranges.</w:t>
      </w:r>
    </w:p>
    <w:p>
      <w:pPr>
        <w:pStyle w:val="DatumXBody"/>
        <w:spacing w:before="0" w:after="160" w:line="283" w:lineRule="auto"/>
        <w:jc w:val="both"/>
      </w:pPr>
      <w:r>
        <w:rPr>
          <w:rFonts w:ascii="Georgia" w:hAnsi="Georgia"/>
          <w:b w:val="0"/>
          <w:i w:val="0"/>
          <w:color w:val="212429"/>
          <w:sz w:val="22"/>
        </w:rPr>
        <w:t>Another risk is duplicate submission. If the same transformed release could be registered repeatedly under different identities, the system would fragment trust. DatumX blocks this at the content-hash level. The canonical content hash is the release identity. Once it has been registered, it cannot be registered again.</w:t>
      </w:r>
    </w:p>
    <w:p>
      <w:pPr>
        <w:pStyle w:val="DatumXBody"/>
        <w:spacing w:before="0" w:after="160" w:line="283" w:lineRule="auto"/>
        <w:jc w:val="both"/>
      </w:pPr>
      <w:r>
        <w:rPr>
          <w:rFonts w:ascii="Georgia" w:hAnsi="Georgia"/>
          <w:b w:val="0"/>
          <w:i w:val="0"/>
          <w:color w:val="212429"/>
          <w:sz w:val="22"/>
        </w:rPr>
        <w:t>Lineage corruption is a third major risk. If children could attach to unfinalized parents, skip stages, branch from the same parent, or cross project boundaries, then lineage would become ambiguous and the protocol would be reduced to a hash log with weak semantics. DatumX mitigates this with strict lineage rules: parent must exist, must belong to the same project, must be finalized, must not already have a child, and the child stage must be exactly the next stage.</w:t>
      </w:r>
    </w:p>
    <w:p>
      <w:pPr>
        <w:pStyle w:val="DatumXBody"/>
        <w:spacing w:before="0" w:after="160" w:line="283" w:lineRule="auto"/>
        <w:jc w:val="both"/>
      </w:pPr>
      <w:r>
        <w:rPr>
          <w:rFonts w:ascii="Georgia" w:hAnsi="Georgia"/>
          <w:b w:val="0"/>
          <w:i w:val="0"/>
          <w:color w:val="212429"/>
          <w:sz w:val="22"/>
        </w:rPr>
        <w:t>Malicious or careless validators are another obvious concern. A validator could attempt to review the same dataset multiple times or manipulate consensus by repeated submission. The protocol blocks one-validator-one-review at the contract layer. A validator could still behave poorly through low-quality judgment, but the system at least makes those actions explicit and durable.</w:t>
      </w:r>
    </w:p>
    <w:p>
      <w:pPr>
        <w:pStyle w:val="DatumXBody"/>
        <w:spacing w:before="0" w:after="160" w:line="283" w:lineRule="auto"/>
        <w:jc w:val="both"/>
      </w:pPr>
      <w:r>
        <w:rPr>
          <w:rFonts w:ascii="Georgia" w:hAnsi="Georgia"/>
          <w:b w:val="0"/>
          <w:i w:val="0"/>
          <w:color w:val="212429"/>
          <w:sz w:val="22"/>
        </w:rPr>
        <w:t>Adapter bypass is a subtler risk. If project-specific normalization could be bypassed, then the core contracts would lose much of their trust value. DatumX mitigates this structurally by binding projects to adapters, routing all submissions through the router, and validating that the adapter's declared project key matches the registry binding. V5's typed payload boundary reinforces this because normalization is no longer a loose, ad hoc call convention.</w:t>
      </w:r>
    </w:p>
    <w:p>
      <w:pPr>
        <w:pStyle w:val="DatumXBody"/>
        <w:spacing w:before="0" w:after="160" w:line="283" w:lineRule="auto"/>
        <w:jc w:val="both"/>
      </w:pPr>
      <w:r>
        <w:rPr>
          <w:rFonts w:ascii="Georgia" w:hAnsi="Georgia"/>
          <w:b w:val="0"/>
          <w:i w:val="0"/>
          <w:color w:val="212429"/>
          <w:sz w:val="22"/>
        </w:rPr>
        <w:t>There are still off-chain trust assumptions. DatumX does not prove that the sourceHash corresponds to authentic field records in any absolute sense. It proves that the release package entering the protocol had a defined shape, lineage, and review outcome. That is the right security boundary for this system. Attempting to prove more on-chain would create false precision and unnecessary complexity.</w:t>
      </w:r>
    </w:p>
    <w:p>
      <w:pPr>
        <w:pStyle w:val="DatumXBody"/>
        <w:spacing w:before="0" w:after="160" w:line="283" w:lineRule="auto"/>
        <w:jc w:val="both"/>
      </w:pPr>
      <w:r>
        <w:rPr>
          <w:rFonts w:ascii="Georgia" w:hAnsi="Georgia"/>
          <w:b w:val="0"/>
          <w:i w:val="0"/>
          <w:color w:val="212429"/>
          <w:sz w:val="22"/>
        </w:rPr>
        <w:t>The protocol's integrity model is therefore best described as layered. It does not replace domain trust. It constrains release trust. That is an important distinction, and it keeps the security claims defensible.</w:t>
      </w:r>
    </w:p>
    <w:p>
      <w:pPr>
        <w:pStyle w:val="DatumXLabel"/>
        <w:spacing w:before="320" w:after="40"/>
      </w:pPr>
      <w:r>
        <w:rPr>
          <w:rFonts w:ascii="Aptos" w:hAnsi="Aptos"/>
          <w:b/>
          <w:i w:val="0"/>
          <w:color w:val="756140"/>
          <w:sz w:val="17"/>
        </w:rPr>
        <w:t>SECTION 10</w:t>
      </w:r>
    </w:p>
    <w:p>
      <w:pPr>
        <w:pStyle w:val="DatumXSectionTitle"/>
        <w:spacing w:before="0" w:after="160"/>
        <w:pBdr>
          <w:bottom w:val="single" w:sz="10" w:space="1" w:color="CBC3B4"/>
        </w:pBdr>
      </w:pPr>
      <w:r>
        <w:rPr>
          <w:rFonts w:ascii="Aptos Display" w:hAnsi="Aptos Display"/>
          <w:b/>
          <w:i w:val="0"/>
          <w:color w:val="212429"/>
          <w:sz w:val="36"/>
        </w:rPr>
        <w:t>Frontend System (Resource Integrity Console)</w:t>
      </w:r>
    </w:p>
    <w:p>
      <w:pPr>
        <w:pStyle w:val="DatumXBody"/>
        <w:spacing w:before="0" w:after="160" w:line="283" w:lineRule="auto"/>
        <w:jc w:val="both"/>
      </w:pPr>
      <w:r>
        <w:rPr>
          <w:rFonts w:ascii="Georgia" w:hAnsi="Georgia"/>
          <w:b w:val="0"/>
          <w:i w:val="0"/>
          <w:color w:val="212429"/>
          <w:sz w:val="22"/>
        </w:rPr>
        <w:t>The Resource Integrity Console is a protocol inspection surface, not a marketing shell around contracts. Its job is to make the release system legible.</w:t>
      </w:r>
    </w:p>
    <w:p>
      <w:pPr>
        <w:pStyle w:val="DatumXBody"/>
        <w:spacing w:before="0" w:after="160" w:line="283" w:lineRule="auto"/>
        <w:jc w:val="both"/>
      </w:pPr>
      <w:r>
        <w:rPr>
          <w:rFonts w:ascii="Georgia" w:hAnsi="Georgia"/>
          <w:b w:val="0"/>
          <w:i w:val="0"/>
          <w:color w:val="212429"/>
          <w:sz w:val="22"/>
        </w:rPr>
        <w:t>The visual design is dark, restrained, and institutional because the product goal is technical seriousness rather than playful accessibility. This is not a consumer wallet, a speculative token dashboard, or a lightweight file viewer. It is intended to feel like mission-critical software where the user is inspecting the state of governed analytical releases.</w:t>
      </w:r>
    </w:p>
    <w:p>
      <w:pPr>
        <w:pStyle w:val="DatumXBody"/>
        <w:spacing w:before="0" w:after="160" w:line="283" w:lineRule="auto"/>
        <w:jc w:val="both"/>
      </w:pPr>
      <w:r>
        <w:rPr>
          <w:rFonts w:ascii="Georgia" w:hAnsi="Georgia"/>
          <w:b w:val="0"/>
          <w:i w:val="0"/>
          <w:color w:val="212429"/>
          <w:sz w:val="22"/>
        </w:rPr>
        <w:t>That design philosophy is tied directly to product goals. The sidebar is structured like a control surface. The top navigation foregrounds the active project and network posture. The datasets surface emphasizes stage, status, confidence, reviewer counts, and chain linkage. The validation panel focuses on threshold context, review contribution, and finalization posture. The audit trail exists because event history is part of trust, not an auxiliary detail.</w:t>
      </w:r>
    </w:p>
    <w:p>
      <w:pPr>
        <w:pStyle w:val="DatumXBody"/>
        <w:spacing w:before="0" w:after="160" w:line="283" w:lineRule="auto"/>
        <w:jc w:val="both"/>
      </w:pPr>
      <w:r>
        <w:rPr>
          <w:rFonts w:ascii="Georgia" w:hAnsi="Georgia"/>
          <w:b w:val="0"/>
          <w:i w:val="0"/>
          <w:color w:val="212429"/>
          <w:sz w:val="22"/>
        </w:rPr>
        <w:t>The lineage graph is particularly important. DatumX's core protocol claim is that transformed releases should have deterministic provenance and progression. If the UI hides that progression, the product would undercut its own thesis. The lineage surface therefore matters not just as a feature, but as a trust visualization. It shows the user that a release is not an isolated object. It belongs to a path.</w:t>
      </w:r>
    </w:p>
    <w:p>
      <w:pPr>
        <w:pStyle w:val="DatumXBody"/>
        <w:spacing w:before="0" w:after="160" w:line="283" w:lineRule="auto"/>
        <w:jc w:val="both"/>
      </w:pPr>
      <w:r>
        <w:rPr>
          <w:rFonts w:ascii="Georgia" w:hAnsi="Georgia"/>
          <w:b w:val="0"/>
          <w:i w:val="0"/>
          <w:color w:val="212429"/>
          <w:sz w:val="22"/>
        </w:rPr>
        <w:t>The audit timeline serves a similar purpose. Trust systems fail when critical actions are visible only in raw chain explorers or internal logs. DatumX's UI surfaces review, submission, and finalization actions directly, and the hardening pass further aligns that surface with truth by attaching real XRPL transaction hashes from the canonical deployment records where known. That turns the timeline from a mostly derived narrative into an evidentiary bridge between the console and the chain.</w:t>
      </w:r>
    </w:p>
    <w:p>
      <w:pPr>
        <w:pStyle w:val="DatumXBody"/>
        <w:spacing w:before="0" w:after="160" w:line="283" w:lineRule="auto"/>
        <w:jc w:val="both"/>
      </w:pPr>
      <w:r>
        <w:rPr>
          <w:rFonts w:ascii="Georgia" w:hAnsi="Georgia"/>
          <w:b w:val="0"/>
          <w:i w:val="0"/>
          <w:color w:val="212429"/>
          <w:sz w:val="22"/>
        </w:rPr>
        <w:t>Another important design principle is UI truth alignment. The frontend should not claim more than the chain actually exposes. This is why the app keeps a clear boundary between live chain state and enriched mock context. When the chain does not expose prose-level metadata, the UI can supplement with narrative context, but it must remain clear that the protocol itself is the source of the critical state. That is a systems design choice, not just a frontend one.</w:t>
      </w:r>
    </w:p>
    <w:p>
      <w:pPr>
        <w:pStyle w:val="DatumXBody"/>
        <w:spacing w:before="0" w:after="160" w:line="283" w:lineRule="auto"/>
        <w:jc w:val="both"/>
      </w:pPr>
      <w:r>
        <w:rPr>
          <w:rFonts w:ascii="Georgia" w:hAnsi="Georgia"/>
          <w:b w:val="0"/>
          <w:i w:val="0"/>
          <w:color w:val="212429"/>
          <w:sz w:val="22"/>
        </w:rPr>
        <w:t>That truth-alignment principle becomes especially important once live data is available. The UI now maps real deployment-manifest transaction hashes into the audit trail for the known XRPL lineage exercises. That means the operator can move from an in-console timeline event to an explorer-visible transaction when the historical proof is known. At the same time, the console avoids inventing fields that the chain does not actually expose. For example, a live dataset can expose its canonical content hash and parent relationship, but not every source-side narrative detail. The product treats that limitation honestly rather than fabricating a more complete story than the protocol can support.</w:t>
      </w:r>
    </w:p>
    <w:p>
      <w:pPr>
        <w:pStyle w:val="DatumXLabel"/>
        <w:spacing w:before="320" w:after="40"/>
      </w:pPr>
      <w:r>
        <w:rPr>
          <w:rFonts w:ascii="Aptos" w:hAnsi="Aptos"/>
          <w:b/>
          <w:i w:val="0"/>
          <w:color w:val="756140"/>
          <w:sz w:val="17"/>
        </w:rPr>
        <w:t>SECTION 11</w:t>
      </w:r>
    </w:p>
    <w:p>
      <w:pPr>
        <w:pStyle w:val="DatumXSectionTitle"/>
        <w:spacing w:before="0" w:after="160"/>
        <w:pBdr>
          <w:bottom w:val="single" w:sz="10" w:space="1" w:color="CBC3B4"/>
        </w:pBdr>
      </w:pPr>
      <w:r>
        <w:rPr>
          <w:rFonts w:ascii="Aptos Display" w:hAnsi="Aptos Display"/>
          <w:b/>
          <w:i w:val="0"/>
          <w:color w:val="212429"/>
          <w:sz w:val="36"/>
        </w:rPr>
        <w:t>XRPL EVM Deployment Model</w:t>
      </w:r>
    </w:p>
    <w:tbl>
      <w:tblPr>
        <w:tblW w:type="auto" w:w="0"/>
        <w:jc w:val="left"/>
        <w:tblLayout w:type="autofit"/>
        <w:tblLook w:firstColumn="1" w:firstRow="1" w:lastColumn="0" w:lastRow="0" w:noHBand="0" w:noVBand="1" w:val="04A0"/>
      </w:tblPr>
      <w:tblGrid>
        <w:gridCol w:w="9504"/>
      </w:tblGrid>
      <w:tr>
        <w:tc>
          <w:tcPr>
            <w:tcW w:type="dxa" w:w="9504"/>
            <w:shd w:fill="F5F1E8"/>
            <w:tcBorders>
              <w:top w:val="single" w:sz="12" w:space="0" w:color="BCA98A"/>
              <w:left w:val="single" w:sz="12" w:space="0" w:color="BCA98A"/>
              <w:bottom w:val="single" w:sz="12" w:space="0" w:color="BCA98A"/>
              <w:right w:val="single" w:sz="12" w:space="0" w:color="BCA98A"/>
            </w:tcBorders>
            <w:vAlign w:val="top"/>
          </w:tcPr>
          <w:p>
            <w:pPr>
              <w:spacing w:before="120" w:after="40"/>
            </w:pPr>
            <w:r>
              <w:rPr>
                <w:rFonts w:ascii="Aptos" w:hAnsi="Aptos"/>
                <w:b/>
                <w:i w:val="0"/>
                <w:color w:val="756140"/>
                <w:sz w:val="17"/>
              </w:rPr>
              <w:t>LIVE PROOF</w:t>
            </w:r>
          </w:p>
          <w:p>
            <w:pPr>
              <w:pStyle w:val="DatumXCallout"/>
              <w:spacing w:before="0" w:after="160" w:line="269" w:lineRule="auto"/>
            </w:pPr>
            <w:r>
              <w:rPr>
                <w:rFonts w:ascii="Georgia" w:hAnsi="Georgia"/>
                <w:b w:val="0"/>
                <w:i/>
                <w:color w:val="212429"/>
                <w:sz w:val="24"/>
              </w:rPr>
              <w:t>The XRPL EVM deployment matters because DatumX already demonstrated a live root -&gt; child lineage path, with thresholds restored after the fast-path exercise.</w:t>
            </w:r>
          </w:p>
        </w:tc>
      </w:tr>
    </w:tbl>
    <w:p>
      <w:pPr>
        <w:spacing w:before="0" w:after="80"/>
      </w:pPr>
    </w:p>
    <w:p>
      <w:pPr>
        <w:pStyle w:val="DatumXBody"/>
        <w:spacing w:before="0" w:after="160" w:line="283" w:lineRule="auto"/>
        <w:jc w:val="both"/>
      </w:pPr>
      <w:r>
        <w:rPr>
          <w:rFonts w:ascii="Georgia" w:hAnsi="Georgia"/>
          <w:b w:val="0"/>
          <w:i w:val="0"/>
          <w:color w:val="212429"/>
          <w:sz w:val="22"/>
        </w:rPr>
        <w:t>DatumX is deployed on XRPL EVM Testnet. That choice is practical rather than ideological.</w:t>
      </w:r>
    </w:p>
    <w:p>
      <w:pPr>
        <w:pStyle w:val="DatumXBody"/>
        <w:spacing w:before="0" w:after="160" w:line="283" w:lineRule="auto"/>
        <w:jc w:val="both"/>
      </w:pPr>
      <w:r>
        <w:rPr>
          <w:rFonts w:ascii="Georgia" w:hAnsi="Georgia"/>
          <w:b w:val="0"/>
          <w:i w:val="0"/>
          <w:color w:val="212429"/>
          <w:sz w:val="22"/>
        </w:rPr>
        <w:t>The protocol needs a real EVM environment with normal wallet behavior, realistic transaction semantics, and publicly inspectable explorer links. It also needs a cost and speed profile that makes repeated protocol testing and user interaction reasonable during product maturation. XRPL EVM Testnet is a good fit for that combination.</w:t>
      </w:r>
    </w:p>
    <w:p>
      <w:pPr>
        <w:pStyle w:val="DatumXBody"/>
        <w:spacing w:before="0" w:after="160" w:line="283" w:lineRule="auto"/>
        <w:jc w:val="both"/>
      </w:pPr>
      <w:r>
        <w:rPr>
          <w:rFonts w:ascii="Georgia" w:hAnsi="Georgia"/>
          <w:b w:val="0"/>
          <w:i w:val="0"/>
          <w:color w:val="212429"/>
          <w:sz w:val="22"/>
        </w:rPr>
        <w:t>MetaMask integration matters because it makes the operational flow normal for EVM users. Connect wallet. Detect chain. Add or switch the network if needed. Sign a transaction. Inspect the result in the explorer. That flow is familiar, which reduces friction in technical review and demonstration.</w:t>
      </w:r>
    </w:p>
    <w:p>
      <w:pPr>
        <w:pStyle w:val="DatumXBody"/>
        <w:spacing w:before="0" w:after="160" w:line="283" w:lineRule="auto"/>
        <w:jc w:val="both"/>
      </w:pPr>
      <w:r>
        <w:rPr>
          <w:rFonts w:ascii="Georgia" w:hAnsi="Georgia"/>
          <w:b w:val="0"/>
          <w:i w:val="0"/>
          <w:color w:val="212429"/>
          <w:sz w:val="22"/>
        </w:rPr>
        <w:t>XRPL EVM Testnet also provides a realistic setting for transaction hardening. DatumX's smoke-test runner explicitly uses fixed gas limits and legacy gas mode to remain compatible with XRPL EVM behavior. That detail is important because deployment readiness is not just about compiling contracts. It is about proving that operational scripts, wallet clients, and user-facing transaction flows behave correctly on the target network.</w:t>
      </w:r>
    </w:p>
    <w:p>
      <w:pPr>
        <w:pStyle w:val="DatumXBody"/>
        <w:spacing w:before="0" w:after="160" w:line="283" w:lineRule="auto"/>
        <w:jc w:val="both"/>
      </w:pPr>
      <w:r>
        <w:rPr>
          <w:rFonts w:ascii="Georgia" w:hAnsi="Georgia"/>
          <w:b w:val="0"/>
          <w:i w:val="0"/>
          <w:color w:val="212429"/>
          <w:sz w:val="22"/>
        </w:rPr>
        <w:t>Compared with Ethereum mainnet, XRPL EVM testnet provides lower operational cost and less friction for iterative validation. DatumX is not yet at the stage where mainnet economics would improve the protocol's core claims. What matters right now is proving the release model, proving the wallet flow, and proving that the protocol behaves coherently in a real EVM execution environment. XRPL EVM Testnet is sufficient for that purpose and, in some ways, better suited to it.</w:t>
      </w:r>
    </w:p>
    <w:p>
      <w:pPr>
        <w:pStyle w:val="DatumXBody"/>
        <w:spacing w:before="0" w:after="160" w:line="283" w:lineRule="auto"/>
        <w:jc w:val="both"/>
      </w:pPr>
      <w:r>
        <w:rPr>
          <w:rFonts w:ascii="Georgia" w:hAnsi="Georgia"/>
          <w:b w:val="0"/>
          <w:i w:val="0"/>
          <w:color w:val="212429"/>
          <w:sz w:val="22"/>
        </w:rPr>
        <w:t>The deployment history also matters to the protocol narrative. DatumX has a canonical V5 deployment with named contract addresses, registered adapters, granted validator roles, and a documented live protocol exercise. In that live exercise, the system successfully recorded a root dataset, collected validator reviews, finalized that root dataset, submitted a child dataset derived from the finalized parent, collected reviews on the child, and finalized the child. The resulting lineage relation is visible onchain through getParentDatasetId(2) and getChildDatasetIds(1). That matters because it demonstrates that the protocol's central promise-controlled release progression from parent to child-is not merely theoretical.</w:t>
      </w:r>
    </w:p>
    <w:p>
      <w:pPr>
        <w:pStyle w:val="DatumXBody"/>
        <w:spacing w:before="0" w:after="160" w:line="283" w:lineRule="auto"/>
        <w:jc w:val="both"/>
      </w:pPr>
      <w:r>
        <w:rPr>
          <w:rFonts w:ascii="Georgia" w:hAnsi="Georgia"/>
          <w:b w:val="0"/>
          <w:i w:val="0"/>
          <w:color w:val="212429"/>
          <w:sz w:val="22"/>
        </w:rPr>
        <w:t>The later admin fast-path smoke test adds another layer of confidence. In that flow, thresholds were temporarily lowered to allow a single validator path for testnet verification, a fresh root and child lineage pair were submitted and finalized, lineage linkage was checked explicitly, and thresholds were restored to 3, 6667, and 7000. The restoration step is important. It proves that the test posture did not silently become the canonical operating posture. The protocol returned to its intended live thresholds after the exercise, which is exactly what an operations-aware system should do.</w:t>
      </w:r>
    </w:p>
    <w:p>
      <w:pPr>
        <w:pStyle w:val="DatumXBody"/>
        <w:spacing w:before="0" w:after="160" w:line="283" w:lineRule="auto"/>
        <w:jc w:val="both"/>
      </w:pPr>
      <w:r>
        <w:rPr>
          <w:rFonts w:ascii="Georgia" w:hAnsi="Georgia"/>
          <w:b w:val="0"/>
          <w:i w:val="0"/>
          <w:color w:val="212429"/>
          <w:sz w:val="22"/>
        </w:rPr>
        <w:t>Taken together, those runs constitute what can reasonably be described as a triple audit process for the current DatumX state. The first audit layer is the contract audit expressed through the Foundry suite and protocol-hardening review. The second is the frontend and integration audit, where wallet flow, explorer links, live-read mapping, and UI truth alignment are checked against the deployed contracts. The third is the live XRPL operational audit, where the release model is exercised end to end against the actual deployment. DatumX does not claim perfection because those layers exist. It claims seriousness because those layers exist and are recorded.</w:t>
      </w:r>
    </w:p>
    <w:p>
      <w:pPr>
        <w:pStyle w:val="DatumXLabel"/>
        <w:spacing w:before="320" w:after="40"/>
      </w:pPr>
      <w:r>
        <w:rPr>
          <w:rFonts w:ascii="Aptos" w:hAnsi="Aptos"/>
          <w:b/>
          <w:i w:val="0"/>
          <w:color w:val="756140"/>
          <w:sz w:val="17"/>
        </w:rPr>
        <w:t>SECTION 12</w:t>
      </w:r>
    </w:p>
    <w:p>
      <w:pPr>
        <w:pStyle w:val="DatumXSectionTitle"/>
        <w:spacing w:before="0" w:after="160"/>
        <w:pBdr>
          <w:bottom w:val="single" w:sz="10" w:space="1" w:color="CBC3B4"/>
        </w:pBdr>
      </w:pPr>
      <w:r>
        <w:rPr>
          <w:rFonts w:ascii="Aptos Display" w:hAnsi="Aptos Display"/>
          <w:b/>
          <w:i w:val="0"/>
          <w:color w:val="212429"/>
          <w:sz w:val="36"/>
        </w:rPr>
        <w:t>Tradeoffs + Limitations</w:t>
      </w:r>
    </w:p>
    <w:p>
      <w:pPr>
        <w:pStyle w:val="DatumXBody"/>
        <w:spacing w:before="0" w:after="160" w:line="283" w:lineRule="auto"/>
        <w:jc w:val="both"/>
      </w:pPr>
      <w:r>
        <w:rPr>
          <w:rFonts w:ascii="Georgia" w:hAnsi="Georgia"/>
          <w:b w:val="0"/>
          <w:i w:val="0"/>
          <w:color w:val="212429"/>
          <w:sz w:val="22"/>
        </w:rPr>
        <w:t>DatumX has meaningful limitations, and treating them honestly is part of making the project credible.</w:t>
      </w:r>
    </w:p>
    <w:p>
      <w:pPr>
        <w:pStyle w:val="DatumXBody"/>
        <w:spacing w:before="0" w:after="160" w:line="283" w:lineRule="auto"/>
        <w:jc w:val="both"/>
      </w:pPr>
      <w:r>
        <w:rPr>
          <w:rFonts w:ascii="Georgia" w:hAnsi="Georgia"/>
          <w:b w:val="0"/>
          <w:i w:val="0"/>
          <w:color w:val="212429"/>
          <w:sz w:val="22"/>
        </w:rPr>
        <w:t>First, DatumX depends on off-chain data persistence. The protocol stores hashes, URIs, lineage references, and review artifacts, but it does not store the full industrial datasets on-chain. That is appropriate for cost and practicality, but it means data availability remains an off-chain responsibility.</w:t>
      </w:r>
    </w:p>
    <w:p>
      <w:pPr>
        <w:pStyle w:val="DatumXBody"/>
        <w:spacing w:before="0" w:after="160" w:line="283" w:lineRule="auto"/>
        <w:jc w:val="both"/>
      </w:pPr>
      <w:r>
        <w:rPr>
          <w:rFonts w:ascii="Georgia" w:hAnsi="Georgia"/>
          <w:b w:val="0"/>
          <w:i w:val="0"/>
          <w:color w:val="212429"/>
          <w:sz w:val="22"/>
        </w:rPr>
        <w:t>Second, the protocol assumes that adapters are trustworthy normalization boundaries. The system verifies project binding and typed input structure, but it does not independently prove the scientific correctness of the transformation inside the adapter or upstream pipeline.</w:t>
      </w:r>
    </w:p>
    <w:p>
      <w:pPr>
        <w:pStyle w:val="DatumXBody"/>
        <w:spacing w:before="0" w:after="160" w:line="283" w:lineRule="auto"/>
        <w:jc w:val="both"/>
      </w:pPr>
      <w:r>
        <w:rPr>
          <w:rFonts w:ascii="Georgia" w:hAnsi="Georgia"/>
          <w:b w:val="0"/>
          <w:i w:val="0"/>
          <w:color w:val="212429"/>
          <w:sz w:val="22"/>
        </w:rPr>
        <w:t>Third, the validator model is permissioned rather than permissionless. That is appropriate for industrial review workflows, but it means the system's quality still depends on governance over validator assignment and behavior. DatumX is explicit about that tradeoff. It favors accountable review over abstract decentralization.</w:t>
      </w:r>
    </w:p>
    <w:p>
      <w:pPr>
        <w:pStyle w:val="DatumXBody"/>
        <w:spacing w:before="0" w:after="160" w:line="283" w:lineRule="auto"/>
        <w:jc w:val="both"/>
      </w:pPr>
      <w:r>
        <w:rPr>
          <w:rFonts w:ascii="Georgia" w:hAnsi="Georgia"/>
          <w:b w:val="0"/>
          <w:i w:val="0"/>
          <w:color w:val="212429"/>
          <w:sz w:val="22"/>
        </w:rPr>
        <w:t>Fourth, the frontend necessarily carries some fixture-enriched context because the chain does not expose every narrative detail that users want to see. The hardening pass improves truth alignment, but the UI is still a mixed live-plus-context system rather than a pure chain mirror.</w:t>
      </w:r>
    </w:p>
    <w:p>
      <w:pPr>
        <w:pStyle w:val="DatumXBody"/>
        <w:spacing w:before="0" w:after="160" w:line="283" w:lineRule="auto"/>
        <w:jc w:val="both"/>
      </w:pPr>
      <w:r>
        <w:rPr>
          <w:rFonts w:ascii="Georgia" w:hAnsi="Georgia"/>
          <w:b w:val="0"/>
          <w:i w:val="0"/>
          <w:color w:val="212429"/>
          <w:sz w:val="22"/>
        </w:rPr>
        <w:t>Fifth, gas and complexity remain a balancing act. DatumX deliberately keeps the protocol compact. It does not attempt to encode full drill-level provenance trees, model execution attestations, or rich governance logic on-chain today. That is not because those ideas are uninteresting. It is because overloading the core protocol too early would weaken readability and auditability.</w:t>
      </w:r>
    </w:p>
    <w:p>
      <w:pPr>
        <w:pStyle w:val="DatumXBody"/>
        <w:spacing w:before="0" w:after="160" w:line="283" w:lineRule="auto"/>
        <w:jc w:val="both"/>
      </w:pPr>
      <w:r>
        <w:rPr>
          <w:rFonts w:ascii="Georgia" w:hAnsi="Georgia"/>
          <w:b w:val="0"/>
          <w:i w:val="0"/>
          <w:color w:val="212429"/>
          <w:sz w:val="22"/>
        </w:rPr>
        <w:t>These limitations do not invalidate the project. They define the boundary within which DatumX can make strong claims. The project is strongest when it says: we are providing a verifiable transformation and release layer, not a universal oracle for industrial truth.</w:t>
      </w:r>
    </w:p>
    <w:p>
      <w:pPr>
        <w:pStyle w:val="DatumXLabel"/>
        <w:spacing w:before="320" w:after="40"/>
      </w:pPr>
      <w:r>
        <w:rPr>
          <w:rFonts w:ascii="Aptos" w:hAnsi="Aptos"/>
          <w:b/>
          <w:i w:val="0"/>
          <w:color w:val="756140"/>
          <w:sz w:val="17"/>
        </w:rPr>
        <w:t>SECTION 13</w:t>
      </w:r>
    </w:p>
    <w:p>
      <w:pPr>
        <w:pStyle w:val="DatumXSectionTitle"/>
        <w:spacing w:before="0" w:after="160"/>
        <w:pBdr>
          <w:bottom w:val="single" w:sz="10" w:space="1" w:color="CBC3B4"/>
        </w:pBdr>
      </w:pPr>
      <w:r>
        <w:rPr>
          <w:rFonts w:ascii="Aptos Display" w:hAnsi="Aptos Display"/>
          <w:b/>
          <w:i w:val="0"/>
          <w:color w:val="212429"/>
          <w:sz w:val="36"/>
        </w:rPr>
        <w:t>Future Extensions</w:t>
      </w:r>
    </w:p>
    <w:p>
      <w:pPr>
        <w:pStyle w:val="DatumXBody"/>
        <w:spacing w:before="0" w:after="160" w:line="283" w:lineRule="auto"/>
        <w:jc w:val="both"/>
      </w:pPr>
      <w:r>
        <w:rPr>
          <w:rFonts w:ascii="Georgia" w:hAnsi="Georgia"/>
          <w:b w:val="0"/>
          <w:i w:val="0"/>
          <w:color w:val="212429"/>
          <w:sz w:val="22"/>
        </w:rPr>
        <w:t>DatumX's current form is specific enough to be credible and general enough to extend.</w:t>
      </w:r>
    </w:p>
    <w:p>
      <w:pPr>
        <w:pStyle w:val="DatumXBody"/>
        <w:spacing w:before="0" w:after="160" w:line="283" w:lineRule="auto"/>
        <w:jc w:val="both"/>
      </w:pPr>
      <w:r>
        <w:rPr>
          <w:rFonts w:ascii="Georgia" w:hAnsi="Georgia"/>
          <w:b w:val="0"/>
          <w:i w:val="0"/>
          <w:color w:val="212429"/>
          <w:sz w:val="22"/>
        </w:rPr>
        <w:t>One natural extension is broader adapter coverage. The adapter model already anticipates cross-company or cross-project normalization, including future support for additional operators and asset groups. The point would not be to make the protocol geologically generic in the abstract. The point would be to prove that the same release discipline can apply across multiple industrial datasets while preserving project-specific normalization.</w:t>
      </w:r>
    </w:p>
    <w:p>
      <w:pPr>
        <w:pStyle w:val="DatumXBody"/>
        <w:spacing w:before="0" w:after="160" w:line="283" w:lineRule="auto"/>
        <w:jc w:val="both"/>
      </w:pPr>
      <w:r>
        <w:rPr>
          <w:rFonts w:ascii="Georgia" w:hAnsi="Georgia"/>
          <w:b w:val="0"/>
          <w:i w:val="0"/>
          <w:color w:val="212429"/>
          <w:sz w:val="22"/>
        </w:rPr>
        <w:t>Another extension is AI oracle integration. Today the protocol captures claimed confidence and review outcomes, but it does not natively attest to model execution or model lineage. A future version could anchor model identity, transformation manifests, or signed inference attestations without compromising the current release model.</w:t>
      </w:r>
    </w:p>
    <w:p>
      <w:pPr>
        <w:pStyle w:val="DatumXBody"/>
        <w:spacing w:before="0" w:after="160" w:line="283" w:lineRule="auto"/>
        <w:jc w:val="both"/>
      </w:pPr>
      <w:r>
        <w:rPr>
          <w:rFonts w:ascii="Georgia" w:hAnsi="Georgia"/>
          <w:b w:val="0"/>
          <w:i w:val="0"/>
          <w:color w:val="212429"/>
          <w:sz w:val="22"/>
        </w:rPr>
        <w:t>Reputation-weighted validators are another plausible next step. The current system treats validators symmetrically. A more mature governance layer could incorporate reviewer history, specialization, or delegated reputation while still preserving explicit review records.</w:t>
      </w:r>
    </w:p>
    <w:p>
      <w:pPr>
        <w:pStyle w:val="DatumXBody"/>
        <w:spacing w:before="0" w:after="160" w:line="283" w:lineRule="auto"/>
        <w:jc w:val="both"/>
      </w:pPr>
      <w:r>
        <w:rPr>
          <w:rFonts w:ascii="Georgia" w:hAnsi="Georgia"/>
          <w:b w:val="0"/>
          <w:i w:val="0"/>
          <w:color w:val="212429"/>
          <w:sz w:val="22"/>
        </w:rPr>
        <w:t>Merkle-style drill-level verification is also a realistic extension. The current system anchors release-level hashes. That is appropriate for the present stage, but more granular proofs could allow downstream consumers to verify that particular drill records or interval subsets belong to a finalized release.</w:t>
      </w:r>
    </w:p>
    <w:p>
      <w:pPr>
        <w:pStyle w:val="DatumXBody"/>
        <w:spacing w:before="0" w:after="160" w:line="283" w:lineRule="auto"/>
        <w:jc w:val="both"/>
      </w:pPr>
      <w:r>
        <w:rPr>
          <w:rFonts w:ascii="Georgia" w:hAnsi="Georgia"/>
          <w:b w:val="0"/>
          <w:i w:val="0"/>
          <w:color w:val="212429"/>
          <w:sz w:val="22"/>
        </w:rPr>
        <w:t>Governance modules, financing integration, and enterprise-facing release controls are all possible, but they should remain downstream of the current core. DatumX's credibility comes from getting the release discipline right first. The future roadmap should expand that trust infrastructure, not dilute it.</w:t>
      </w:r>
    </w:p>
    <w:p>
      <w:pPr>
        <w:pStyle w:val="DatumXLabel"/>
        <w:spacing w:before="320" w:after="40"/>
      </w:pPr>
      <w:r>
        <w:rPr>
          <w:rFonts w:ascii="Aptos" w:hAnsi="Aptos"/>
          <w:b/>
          <w:i w:val="0"/>
          <w:color w:val="756140"/>
          <w:sz w:val="17"/>
        </w:rPr>
        <w:t>SECTION 14</w:t>
      </w:r>
    </w:p>
    <w:p>
      <w:pPr>
        <w:pStyle w:val="DatumXSectionTitle"/>
        <w:spacing w:before="0" w:after="160"/>
        <w:pBdr>
          <w:bottom w:val="single" w:sz="10" w:space="1" w:color="CBC3B4"/>
        </w:pBdr>
      </w:pPr>
      <w:r>
        <w:rPr>
          <w:rFonts w:ascii="Aptos Display" w:hAnsi="Aptos Display"/>
          <w:b/>
          <w:i w:val="0"/>
          <w:color w:val="212429"/>
          <w:sz w:val="36"/>
        </w:rPr>
        <w:t>Why This Matters</w:t>
      </w:r>
    </w:p>
    <w:p>
      <w:pPr>
        <w:pStyle w:val="DatumXBody"/>
        <w:spacing w:before="0" w:after="160" w:line="283" w:lineRule="auto"/>
        <w:jc w:val="both"/>
      </w:pPr>
      <w:r>
        <w:rPr>
          <w:rFonts w:ascii="Georgia" w:hAnsi="Georgia"/>
          <w:b w:val="0"/>
          <w:i w:val="0"/>
          <w:color w:val="212429"/>
          <w:sz w:val="22"/>
        </w:rPr>
        <w:t>The most important shift DatumX represents is the move from data to trusted transformed data.</w:t>
      </w:r>
    </w:p>
    <w:p>
      <w:pPr>
        <w:pStyle w:val="DatumXBody"/>
        <w:spacing w:before="0" w:after="160" w:line="283" w:lineRule="auto"/>
        <w:jc w:val="both"/>
      </w:pPr>
      <w:r>
        <w:rPr>
          <w:rFonts w:ascii="Georgia" w:hAnsi="Georgia"/>
          <w:b w:val="0"/>
          <w:i w:val="0"/>
          <w:color w:val="212429"/>
          <w:sz w:val="22"/>
        </w:rPr>
        <w:t>AI pipelines are increasing the amount of industrial data that can be extracted, cleaned, and interpreted. That trend is not going to reverse. What remains scarce is not the ability to transform records, but the ability to defend transformed releases after they have been altered by multiple stages of computation and judgment.</w:t>
      </w:r>
    </w:p>
    <w:p>
      <w:pPr>
        <w:pStyle w:val="DatumXBody"/>
        <w:spacing w:before="0" w:after="160" w:line="283" w:lineRule="auto"/>
        <w:jc w:val="both"/>
      </w:pPr>
      <w:r>
        <w:rPr>
          <w:rFonts w:ascii="Georgia" w:hAnsi="Georgia"/>
          <w:b w:val="0"/>
          <w:i w:val="0"/>
          <w:color w:val="212429"/>
          <w:sz w:val="22"/>
        </w:rPr>
        <w:t>That is why raw storage is the wrong framing. A file store can tell you where a document lives. It cannot, by itself, tell you whether a targeting package was derived from a finalized parent, whether three validators reviewed it, whether the aggregate confidence cleared threshold, or whether an auditor actually closed the release. Those are release-integrity questions, not storage questions.</w:t>
      </w:r>
    </w:p>
    <w:p>
      <w:pPr>
        <w:pStyle w:val="DatumXBody"/>
        <w:spacing w:before="0" w:after="160" w:line="283" w:lineRule="auto"/>
        <w:jc w:val="both"/>
      </w:pPr>
      <w:r>
        <w:rPr>
          <w:rFonts w:ascii="Georgia" w:hAnsi="Georgia"/>
          <w:b w:val="0"/>
          <w:i w:val="0"/>
          <w:color w:val="212429"/>
          <w:sz w:val="22"/>
        </w:rPr>
        <w:t>DatumX matters because it defines an infrastructure layer for those questions. It is not a geology application wearing smart contracts as decoration. It is a protocol for release trust in transformed industrial data. The fact that the immediate use case is uranium exploration is important because it provides realism, but the core thesis extends beyond that domain. Any environment in which AI-transformed datasets become decision-bearing will face the same need for provenance, lineage, validator accountability, and explicit release semantics.</w:t>
      </w:r>
    </w:p>
    <w:p>
      <w:pPr>
        <w:pStyle w:val="DatumXBody"/>
        <w:spacing w:before="0" w:after="160" w:line="283" w:lineRule="auto"/>
        <w:jc w:val="both"/>
      </w:pPr>
      <w:r>
        <w:rPr>
          <w:rFonts w:ascii="Georgia" w:hAnsi="Georgia"/>
          <w:b w:val="0"/>
          <w:i w:val="0"/>
          <w:color w:val="212429"/>
          <w:sz w:val="22"/>
        </w:rPr>
        <w:t>That is why the protocol should be understood as infrastructure rather than an app. The console is important, but the console is not the center of gravity. The center of gravity is the release model: typed submission, canonical normalization, deterministic lineage, validator review, auditor closure, and recorded evidence on a public EVM network. Those ideas are useful in exploration, but they are also useful anywhere transformed records need to become reviewable releases instead of silently mutating operational inputs.</w:t>
      </w:r>
    </w:p>
    <w:p>
      <w:pPr>
        <w:pStyle w:val="DatumXLabel"/>
        <w:spacing w:before="320" w:after="40"/>
      </w:pPr>
      <w:r>
        <w:rPr>
          <w:rFonts w:ascii="Aptos" w:hAnsi="Aptos"/>
          <w:b/>
          <w:i w:val="0"/>
          <w:color w:val="756140"/>
          <w:sz w:val="17"/>
        </w:rPr>
        <w:t>SECTION 15</w:t>
      </w:r>
    </w:p>
    <w:p>
      <w:pPr>
        <w:pStyle w:val="DatumXSectionTitle"/>
        <w:spacing w:before="0" w:after="160"/>
        <w:pBdr>
          <w:bottom w:val="single" w:sz="10" w:space="1" w:color="CBC3B4"/>
        </w:pBdr>
      </w:pPr>
      <w:r>
        <w:rPr>
          <w:rFonts w:ascii="Aptos Display" w:hAnsi="Aptos Display"/>
          <w:b/>
          <w:i w:val="0"/>
          <w:color w:val="212429"/>
          <w:sz w:val="36"/>
        </w:rPr>
        <w:t>Conclusion</w:t>
      </w:r>
    </w:p>
    <w:p>
      <w:pPr>
        <w:pStyle w:val="DatumXBody"/>
        <w:spacing w:before="0" w:after="160" w:line="283" w:lineRule="auto"/>
        <w:jc w:val="both"/>
      </w:pPr>
      <w:r>
        <w:rPr>
          <w:rFonts w:ascii="Georgia" w:hAnsi="Georgia"/>
          <w:b w:val="0"/>
          <w:i w:val="0"/>
          <w:color w:val="212429"/>
          <w:sz w:val="22"/>
        </w:rPr>
        <w:t>DatumX is a serious systems project because it addresses a real modern bottleneck: proving the trustworthiness of transformed datasets after AI-assisted workflows have changed them.</w:t>
      </w:r>
    </w:p>
    <w:p>
      <w:pPr>
        <w:pStyle w:val="DatumXBody"/>
        <w:spacing w:before="0" w:after="160" w:line="283" w:lineRule="auto"/>
        <w:jc w:val="both"/>
      </w:pPr>
      <w:r>
        <w:rPr>
          <w:rFonts w:ascii="Georgia" w:hAnsi="Georgia"/>
          <w:b w:val="0"/>
          <w:i w:val="0"/>
          <w:color w:val="212429"/>
          <w:sz w:val="22"/>
        </w:rPr>
        <w:t>Its strength does not come from maximal on-chain ambition. It comes from disciplined scope. Adapters normalize project-specific inputs into a canonical boundary. The router isolates submission logic. The registry stores and protects release identity. The lineage graph enforces deterministic progression. Validators review. Auditors finalize. The frontend exposes that state in a way that matches the product's trust goals. XRPL EVM deployment proves that the system operates in a real execution environment, including a live root-&gt;child lineage proof and a verified threshold-restoration smoke exercise.</w:t>
      </w:r>
    </w:p>
    <w:p>
      <w:pPr>
        <w:pStyle w:val="DatumXBody"/>
        <w:spacing w:before="0" w:after="160" w:line="283" w:lineRule="auto"/>
        <w:jc w:val="both"/>
      </w:pPr>
      <w:r>
        <w:rPr>
          <w:rFonts w:ascii="Georgia" w:hAnsi="Georgia"/>
          <w:b w:val="0"/>
          <w:i w:val="0"/>
          <w:color w:val="212429"/>
          <w:sz w:val="22"/>
        </w:rPr>
        <w:t>This is not a toy project because it is not built around novelty for its own sake. It is built around a narrow, consequential systems problem. As AI transformation becomes more common in industrial settings, protocols like DatumX will matter more, not less. The more frequently data is changed before it is consumed, the more valuable it becomes to know exactly how that change became legitimate.</w:t>
      </w:r>
    </w:p>
    <w:p>
      <w:pPr>
        <w:pStyle w:val="DatumXBody"/>
        <w:spacing w:before="0" w:after="160" w:line="283" w:lineRule="auto"/>
        <w:jc w:val="both"/>
      </w:pPr>
      <w:r>
        <w:rPr>
          <w:rFonts w:ascii="Georgia" w:hAnsi="Georgia"/>
          <w:b w:val="0"/>
          <w:i w:val="0"/>
          <w:color w:val="212429"/>
          <w:sz w:val="22"/>
        </w:rPr>
        <w:t>Author:</w:t>
      </w:r>
    </w:p>
    <w:p>
      <w:pPr>
        <w:pStyle w:val="DatumXBody"/>
        <w:spacing w:before="0" w:after="160" w:line="283" w:lineRule="auto"/>
        <w:jc w:val="both"/>
      </w:pPr>
      <w:r>
        <w:rPr>
          <w:rFonts w:ascii="Georgia" w:hAnsi="Georgia"/>
          <w:b w:val="0"/>
          <w:i w:val="0"/>
          <w:color w:val="212429"/>
          <w:sz w:val="22"/>
        </w:rPr>
        <w:t>DatumX Protocol | Built by ZRT - https://github.com/zrt219</w:t>
      </w:r>
    </w:p>
    <w:sectPr w:rsidR="00FC693F" w:rsidRPr="0006063C" w:rsidSect="00034616">
      <w:headerReference w:type="default" r:id="rId10"/>
      <w:footerReference w:type="default" r:id="rId11"/>
      <w:pgSz w:w="12240" w:h="15840"/>
      <w:pgMar w:top="1152" w:right="1368" w:bottom="1008" w:left="1368"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b w:val="0"/>
        <w:i w:val="0"/>
        <w:color w:val="595F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Aptos" w:hAnsi="Aptos"/>
        <w:b/>
        <w:i w:val="0"/>
        <w:color w:val="595F66"/>
        <w:sz w:val="17"/>
      </w:rPr>
      <w:t>DATUMX PROTOCOL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Georgia" w:hAnsi="Georgia"/>
      <w:color w:val="2124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umXBody">
    <w:name w:val="DatumX Body"/>
    <w:basedOn w:val="Normal"/>
    <w:pPr>
      <w:spacing w:after="160" w:line="283" w:lineRule="auto"/>
    </w:pPr>
    <w:rPr>
      <w:rFonts w:ascii="Georgia" w:hAnsi="Georgia"/>
      <w:color w:val="212429"/>
      <w:sz w:val="22"/>
    </w:rPr>
  </w:style>
  <w:style w:type="paragraph" w:customStyle="1" w:styleId="DatumXLabel">
    <w:name w:val="DatumX Label"/>
    <w:basedOn w:val="Normal"/>
    <w:pPr>
      <w:spacing w:after="60"/>
    </w:pPr>
    <w:rPr>
      <w:rFonts w:ascii="Aptos" w:hAnsi="Aptos"/>
      <w:b/>
      <w:color w:val="756140"/>
      <w:sz w:val="17"/>
    </w:rPr>
  </w:style>
  <w:style w:type="paragraph" w:customStyle="1" w:styleId="DatumXSectionTitle">
    <w:name w:val="DatumX Section Title"/>
    <w:basedOn w:val="Normal"/>
    <w:pPr>
      <w:keepNext/>
      <w:spacing w:before="0" w:after="160"/>
    </w:pPr>
    <w:rPr>
      <w:rFonts w:ascii="Aptos Display" w:hAnsi="Aptos Display"/>
      <w:b/>
      <w:color w:val="212429"/>
      <w:sz w:val="36"/>
    </w:rPr>
  </w:style>
  <w:style w:type="paragraph" w:customStyle="1" w:styleId="DatumXSmall">
    <w:name w:val="DatumX Small"/>
    <w:basedOn w:val="Normal"/>
    <w:pPr>
      <w:spacing w:after="80"/>
    </w:pPr>
    <w:rPr>
      <w:rFonts w:ascii="Aptos" w:hAnsi="Aptos"/>
      <w:color w:val="595F66"/>
      <w:sz w:val="19"/>
    </w:rPr>
  </w:style>
  <w:style w:type="paragraph" w:customStyle="1" w:styleId="DatumXCallout">
    <w:name w:val="DatumX Callout"/>
    <w:basedOn w:val="Normal"/>
    <w:pPr>
      <w:spacing w:after="60" w:line="276" w:lineRule="auto"/>
    </w:pPr>
    <w:rPr>
      <w:rFonts w:ascii="Georgia" w:hAnsi="Georgia"/>
      <w:i/>
      <w:color w:val="212429"/>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