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6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DatumX-removebg-preview.png"/>
                    <pic:cNvPicPr/>
                  </pic:nvPicPr>
                  <pic:blipFill>
                    <a:blip r:embed="rId11"/>
                    <a:stretch>
                      <a:fillRect/>
                    </a:stretch>
                  </pic:blipFill>
                  <pic:spPr>
                    <a:xfrm>
                      <a:off x="0" y="0"/>
                      <a:ext cx="1097280" cy="1097280"/>
                    </a:xfrm>
                    <a:prstGeom prst="rect"/>
                  </pic:spPr>
                </pic:pic>
              </a:graphicData>
            </a:graphic>
          </wp:inline>
        </w:drawing>
      </w:r>
    </w:p>
    <w:p>
      <w:pPr>
        <w:pStyle w:val="DatumXLabel"/>
        <w:jc w:val="center"/>
      </w:pPr>
      <w:r>
        <w:rPr>
          <w:rFonts w:ascii="Courier New" w:hAnsi="Courier New"/>
          <w:b/>
          <w:i w:val="0"/>
          <w:color w:val="78A37B"/>
          <w:sz w:val="18"/>
        </w:rPr>
        <w:t>DATUMX PROTOCOL DOSSIER</w:t>
      </w:r>
    </w:p>
    <w:p>
      <w:pPr>
        <w:spacing w:before="360" w:after="160" w:line="259" w:lineRule="auto"/>
        <w:jc w:val="center"/>
      </w:pPr>
      <w:r>
        <w:rPr>
          <w:rFonts w:ascii="Courier New" w:hAnsi="Courier New"/>
          <w:b/>
          <w:i w:val="0"/>
          <w:color w:val="1A212B"/>
          <w:sz w:val="42"/>
        </w:rPr>
        <w:t>DatumX - Verifying AI-Transformed Exploration Data with On-Chain Provenance and Consensus Validation</w:t>
      </w:r>
    </w:p>
    <w:p>
      <w:pPr>
        <w:spacing w:before="0" w:after="360"/>
        <w:jc w:val="center"/>
      </w:pPr>
      <w:r>
        <w:rPr>
          <w:rFonts w:ascii="Arial" w:hAnsi="Arial"/>
          <w:b w:val="0"/>
          <w:i/>
          <w:color w:val="606C7A"/>
          <w:sz w:val="24"/>
        </w:rPr>
        <w:t>Long-form protocol case study</w:t>
      </w:r>
    </w:p>
    <w:p>
      <w:pPr>
        <w:spacing w:before="0" w:after="280" w:line="283" w:lineRule="auto"/>
        <w:jc w:val="center"/>
      </w:pPr>
      <w:r>
        <w:rPr>
          <w:rFonts w:ascii="Arial" w:hAnsi="Arial"/>
          <w:b w:val="0"/>
          <w:i w:val="0"/>
          <w:color w:val="1A212B"/>
          <w:sz w:val="23"/>
        </w:rPr>
        <w:t>DatumX treats transformed industrial datasets as governed analytical releases with canonical payloads, deterministic lineage, validator consensus, and auditor-controlled finalization.</w:t>
      </w:r>
    </w:p>
    <w:tbl>
      <w:tblPr>
        <w:tblW w:type="auto" w:w="0"/>
        <w:jc w:val="center"/>
        <w:tblLayout w:type="autofit"/>
        <w:tblLook w:firstColumn="1" w:firstRow="1" w:lastColumn="0" w:lastRow="0" w:noHBand="0" w:noVBand="1" w:val="04A0"/>
      </w:tblPr>
      <w:tblGrid>
        <w:gridCol w:w="4680"/>
        <w:gridCol w:w="4680"/>
      </w:tblGrid>
      <w:tr>
        <w:tc>
          <w:tcPr>
            <w:tcW w:type="dxa" w:w="4680"/>
            <w:shd w:fill="EEF4EE"/>
            <w:tcBorders>
              <w:top w:val="single" w:sz="8" w:space="0" w:color="C6D1C6"/>
              <w:left w:val="single" w:sz="8" w:space="0" w:color="C6D1C6"/>
              <w:bottom w:val="single" w:sz="8" w:space="0" w:color="C6D1C6"/>
              <w:right w:val="single" w:sz="8" w:space="0" w:color="C6D1C6"/>
            </w:tcBorders>
            <w:vAlign w:val="center"/>
          </w:tcPr>
          <w:p>
            <w:pPr>
              <w:jc w:val="center"/>
            </w:pPr>
            <w:r>
              <w:rPr>
                <w:rFonts w:ascii="Courier New" w:hAnsi="Courier New"/>
                <w:b/>
                <w:i w:val="0"/>
                <w:color w:val="78A37B"/>
                <w:sz w:val="17"/>
              </w:rPr>
              <w:t>STACK</w:t>
            </w:r>
          </w:p>
        </w:tc>
        <w:tc>
          <w:tcPr>
            <w:tcW w:type="dxa" w:w="4680"/>
            <w:shd w:fill="FFFFFF"/>
            <w:tcBorders>
              <w:top w:val="single" w:sz="8" w:space="0" w:color="C6D1C6"/>
              <w:left w:val="single" w:sz="8" w:space="0" w:color="C6D1C6"/>
              <w:bottom w:val="single" w:sz="8" w:space="0" w:color="C6D1C6"/>
              <w:right w:val="single" w:sz="8" w:space="0" w:color="C6D1C6"/>
            </w:tcBorders>
            <w:vAlign w:val="center"/>
          </w:tcPr>
          <w:p>
            <w:pPr>
              <w:jc w:val="left"/>
            </w:pPr>
            <w:r>
              <w:rPr>
                <w:rFonts w:ascii="Arial" w:hAnsi="Arial"/>
                <w:b w:val="0"/>
                <w:i w:val="0"/>
                <w:color w:val="1A212B"/>
                <w:sz w:val="20"/>
              </w:rPr>
              <w:t>XRPL EVM Testnet | Solidity 0.8.24 | Foundry | React | Vite | TypeScript | viem</w:t>
            </w:r>
          </w:p>
        </w:tc>
      </w:tr>
      <w:tr>
        <w:tc>
          <w:tcPr>
            <w:tcW w:type="dxa" w:w="4680"/>
            <w:shd w:fill="EEF4EE"/>
            <w:tcBorders>
              <w:top w:val="single" w:sz="8" w:space="0" w:color="C6D1C6"/>
              <w:left w:val="single" w:sz="8" w:space="0" w:color="C6D1C6"/>
              <w:bottom w:val="single" w:sz="8" w:space="0" w:color="C6D1C6"/>
              <w:right w:val="single" w:sz="8" w:space="0" w:color="C6D1C6"/>
            </w:tcBorders>
            <w:vAlign w:val="center"/>
          </w:tcPr>
          <w:p>
            <w:pPr>
              <w:jc w:val="center"/>
            </w:pPr>
            <w:r>
              <w:rPr>
                <w:rFonts w:ascii="Courier New" w:hAnsi="Courier New"/>
                <w:b/>
                <w:i w:val="0"/>
                <w:color w:val="78A37B"/>
                <w:sz w:val="17"/>
              </w:rPr>
              <w:t>LIVE</w:t>
            </w:r>
          </w:p>
        </w:tc>
        <w:tc>
          <w:tcPr>
            <w:tcW w:type="dxa" w:w="4680"/>
            <w:shd w:fill="FFFFFF"/>
            <w:tcBorders>
              <w:top w:val="single" w:sz="8" w:space="0" w:color="C6D1C6"/>
              <w:left w:val="single" w:sz="8" w:space="0" w:color="C6D1C6"/>
              <w:bottom w:val="single" w:sz="8" w:space="0" w:color="C6D1C6"/>
              <w:right w:val="single" w:sz="8" w:space="0" w:color="C6D1C6"/>
            </w:tcBorders>
            <w:vAlign w:val="center"/>
          </w:tcPr>
          <w:p>
            <w:pPr>
              <w:jc w:val="left"/>
            </w:pPr>
            <w:r>
              <w:rPr>
                <w:rFonts w:ascii="Arial" w:hAnsi="Arial"/>
                <w:b w:val="0"/>
                <w:i w:val="0"/>
                <w:color w:val="1A212B"/>
                <w:sz w:val="20"/>
              </w:rPr>
              <w:t>Live console: https://datumx.vercel.app | Canonical ValidationModule: 0xD60BE5B6A28eAF13De6DB6e02726551304E82baf</w:t>
            </w:r>
          </w:p>
        </w:tc>
      </w:tr>
      <w:tr>
        <w:tc>
          <w:tcPr>
            <w:tcW w:type="dxa" w:w="4680"/>
            <w:shd w:fill="EEF4EE"/>
            <w:tcBorders>
              <w:top w:val="single" w:sz="8" w:space="0" w:color="C6D1C6"/>
              <w:left w:val="single" w:sz="8" w:space="0" w:color="C6D1C6"/>
              <w:bottom w:val="single" w:sz="8" w:space="0" w:color="C6D1C6"/>
              <w:right w:val="single" w:sz="8" w:space="0" w:color="C6D1C6"/>
            </w:tcBorders>
            <w:vAlign w:val="center"/>
          </w:tcPr>
          <w:p>
            <w:pPr>
              <w:jc w:val="center"/>
            </w:pPr>
            <w:r>
              <w:rPr>
                <w:rFonts w:ascii="Courier New" w:hAnsi="Courier New"/>
                <w:b/>
                <w:i w:val="0"/>
                <w:color w:val="78A37B"/>
                <w:sz w:val="17"/>
              </w:rPr>
              <w:t>PALETTE</w:t>
            </w:r>
          </w:p>
        </w:tc>
        <w:tc>
          <w:tcPr>
            <w:tcW w:type="dxa" w:w="4680"/>
            <w:shd w:fill="FFFFFF"/>
            <w:tcBorders>
              <w:top w:val="single" w:sz="8" w:space="0" w:color="C6D1C6"/>
              <w:left w:val="single" w:sz="8" w:space="0" w:color="C6D1C6"/>
              <w:bottom w:val="single" w:sz="8" w:space="0" w:color="C6D1C6"/>
              <w:right w:val="single" w:sz="8" w:space="0" w:color="C6D1C6"/>
            </w:tcBorders>
            <w:vAlign w:val="center"/>
          </w:tcPr>
          <w:p>
            <w:pPr>
              <w:jc w:val="left"/>
            </w:pPr>
            <w:r>
              <w:rPr>
                <w:rFonts w:ascii="Arial" w:hAnsi="Arial"/>
                <w:b w:val="0"/>
                <w:i w:val="0"/>
                <w:color w:val="1A212B"/>
                <w:sz w:val="20"/>
              </w:rPr>
              <w:t>Primary #78A37B | Secondary #5F7FA7 | Callout fill #EEF4EE</w:t>
            </w:r>
          </w:p>
        </w:tc>
      </w:tr>
      <w:tr>
        <w:tc>
          <w:tcPr>
            <w:tcW w:type="dxa" w:w="4680"/>
            <w:shd w:fill="EEF4EE"/>
            <w:tcBorders>
              <w:top w:val="single" w:sz="8" w:space="0" w:color="C6D1C6"/>
              <w:left w:val="single" w:sz="8" w:space="0" w:color="C6D1C6"/>
              <w:bottom w:val="single" w:sz="8" w:space="0" w:color="C6D1C6"/>
              <w:right w:val="single" w:sz="8" w:space="0" w:color="C6D1C6"/>
            </w:tcBorders>
            <w:vAlign w:val="center"/>
          </w:tcPr>
          <w:p>
            <w:pPr>
              <w:jc w:val="center"/>
            </w:pPr>
            <w:r>
              <w:rPr>
                <w:rFonts w:ascii="Courier New" w:hAnsi="Courier New"/>
                <w:b/>
                <w:i w:val="0"/>
                <w:color w:val="78A37B"/>
                <w:sz w:val="17"/>
              </w:rPr>
              <w:t>FORMAT</w:t>
            </w:r>
          </w:p>
        </w:tc>
        <w:tc>
          <w:tcPr>
            <w:tcW w:type="dxa" w:w="4680"/>
            <w:shd w:fill="FFFFFF"/>
            <w:tcBorders>
              <w:top w:val="single" w:sz="8" w:space="0" w:color="C6D1C6"/>
              <w:left w:val="single" w:sz="8" w:space="0" w:color="C6D1C6"/>
              <w:bottom w:val="single" w:sz="8" w:space="0" w:color="C6D1C6"/>
              <w:right w:val="single" w:sz="8" w:space="0" w:color="C6D1C6"/>
            </w:tcBorders>
            <w:vAlign w:val="center"/>
          </w:tcPr>
          <w:p>
            <w:pPr>
              <w:jc w:val="left"/>
            </w:pPr>
            <w:r>
              <w:rPr>
                <w:rFonts w:ascii="Arial" w:hAnsi="Arial"/>
                <w:b w:val="0"/>
                <w:i w:val="0"/>
                <w:color w:val="1A212B"/>
                <w:sz w:val="20"/>
              </w:rPr>
              <w:t>US Letter | 1 inch margins | Courier New headings | Arial body</w:t>
            </w:r>
          </w:p>
        </w:tc>
      </w:tr>
    </w:tbl>
    <w:p>
      <w:pPr>
        <w:pStyle w:val="DatumXMeta"/>
        <w:spacing w:before="280" w:after="0"/>
        <w:jc w:val="center"/>
      </w:pPr>
      <w:r>
        <w:rPr>
          <w:rFonts w:ascii="Arial" w:hAnsi="Arial"/>
          <w:b w:val="0"/>
          <w:i/>
          <w:color w:val="606C7A"/>
          <w:sz w:val="20"/>
        </w:rPr>
        <w:t>Deep protocol narrative for engineers, protocol designers, technical reviewers, and investment diligence.</w:t>
      </w:r>
    </w:p>
    <w:p>
      <w:pPr>
        <w:sectPr>
          <w:headerReference w:type="default" r:id="rId9"/>
          <w:footerReference w:type="default" r:id="rId10"/>
          <w:pgSz w:w="12240" w:h="15840"/>
          <w:pgMar w:top="1440" w:right="1440" w:bottom="1440" w:left="1440" w:header="720" w:footer="720" w:gutter="0"/>
          <w:cols w:space="720"/>
          <w:docGrid w:linePitch="360"/>
        </w:sectPr>
      </w:pPr>
    </w:p>
    <w:p>
      <w:pPr>
        <w:pStyle w:val="DatumXSectionTitle"/>
        <w:pBdr>
          <w:bottom w:val="single" w:sz="10" w:space="1" w:color="C6D1C6"/>
        </w:pBdr>
      </w:pPr>
      <w:r>
        <w:rPr>
          <w:rFonts w:ascii="Courier New" w:hAnsi="Courier New"/>
          <w:b/>
          <w:i w:val="0"/>
          <w:color w:val="1A212B"/>
          <w:sz w:val="28"/>
        </w:rPr>
        <w:t>Case Study Contents</w:t>
      </w:r>
    </w:p>
    <w:p>
      <w:pPr>
        <w:pStyle w:val="DatumXMeta"/>
      </w:pPr>
      <w:r>
        <w:rPr>
          <w:rFonts w:ascii="Arial" w:hAnsi="Arial"/>
          <w:b w:val="0"/>
          <w:i/>
          <w:color w:val="606C7A"/>
          <w:sz w:val="19"/>
        </w:rPr>
        <w:t>Static contents generated from the Markdown source headings.</w:t>
      </w:r>
    </w:p>
    <w:tbl>
      <w:tblPr>
        <w:tblW w:type="auto" w:w="0"/>
        <w:jc w:val="left"/>
        <w:tblLook w:firstColumn="1" w:firstRow="1" w:lastColumn="0" w:lastRow="0" w:noHBand="0" w:noVBand="1" w:val="04A0"/>
      </w:tblPr>
      <w:tblGrid>
        <w:gridCol w:w="4680"/>
        <w:gridCol w:w="4680"/>
      </w:tblGrid>
      <w:tr>
        <w:tc>
          <w:tcPr>
            <w:tcW w:type="dxa" w:w="4680"/>
            <w:shd w:fill="E6EEE7"/>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78A37B"/>
                <w:sz w:val="17"/>
              </w:rPr>
              <w:t>#</w:t>
            </w:r>
          </w:p>
        </w:tc>
        <w:tc>
          <w:tcPr>
            <w:tcW w:type="dxa" w:w="4680"/>
            <w:shd w:fill="E6EEE7"/>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78A37B"/>
                <w:sz w:val="17"/>
              </w:rPr>
              <w:t>Section</w:t>
            </w:r>
          </w:p>
        </w:tc>
      </w:tr>
      <w:tr>
        <w:tc>
          <w:tcPr>
            <w:tcW w:type="dxa" w:w="4680"/>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1A212B"/>
                <w:sz w:val="17"/>
              </w:rPr>
              <w:t>1</w:t>
            </w:r>
          </w:p>
        </w:tc>
        <w:tc>
          <w:tcPr>
            <w:tcW w:type="dxa" w:w="4680"/>
            <w:tcBorders>
              <w:top w:val="single" w:sz="8" w:space="0" w:color="C6D1C6"/>
              <w:left w:val="single" w:sz="8" w:space="0" w:color="C6D1C6"/>
              <w:bottom w:val="single" w:sz="8" w:space="0" w:color="C6D1C6"/>
              <w:right w:val="single" w:sz="8" w:space="0" w:color="C6D1C6"/>
            </w:tcBorders>
          </w:tcPr>
          <w:p>
            <w:r>
              <w:rPr>
                <w:rFonts w:ascii="Arial" w:hAnsi="Arial"/>
                <w:b w:val="0"/>
                <w:i w:val="0"/>
                <w:color w:val="1A212B"/>
                <w:sz w:val="20"/>
              </w:rPr>
              <w:t>1. Executive Summary</w:t>
            </w:r>
          </w:p>
        </w:tc>
      </w:tr>
      <w:tr>
        <w:tc>
          <w:tcPr>
            <w:tcW w:type="dxa" w:w="4680"/>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1A212B"/>
                <w:sz w:val="17"/>
              </w:rPr>
              <w:t>2</w:t>
            </w:r>
          </w:p>
        </w:tc>
        <w:tc>
          <w:tcPr>
            <w:tcW w:type="dxa" w:w="4680"/>
            <w:tcBorders>
              <w:top w:val="single" w:sz="8" w:space="0" w:color="C6D1C6"/>
              <w:left w:val="single" w:sz="8" w:space="0" w:color="C6D1C6"/>
              <w:bottom w:val="single" w:sz="8" w:space="0" w:color="C6D1C6"/>
              <w:right w:val="single" w:sz="8" w:space="0" w:color="C6D1C6"/>
            </w:tcBorders>
          </w:tcPr>
          <w:p>
            <w:r>
              <w:rPr>
                <w:rFonts w:ascii="Arial" w:hAnsi="Arial"/>
                <w:b w:val="0"/>
                <w:i w:val="0"/>
                <w:color w:val="1A212B"/>
                <w:sz w:val="20"/>
              </w:rPr>
              <w:t>2. Industry Context</w:t>
            </w:r>
          </w:p>
        </w:tc>
      </w:tr>
      <w:tr>
        <w:tc>
          <w:tcPr>
            <w:tcW w:type="dxa" w:w="4680"/>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1A212B"/>
                <w:sz w:val="17"/>
              </w:rPr>
              <w:t>3</w:t>
            </w:r>
          </w:p>
        </w:tc>
        <w:tc>
          <w:tcPr>
            <w:tcW w:type="dxa" w:w="4680"/>
            <w:tcBorders>
              <w:top w:val="single" w:sz="8" w:space="0" w:color="C6D1C6"/>
              <w:left w:val="single" w:sz="8" w:space="0" w:color="C6D1C6"/>
              <w:bottom w:val="single" w:sz="8" w:space="0" w:color="C6D1C6"/>
              <w:right w:val="single" w:sz="8" w:space="0" w:color="C6D1C6"/>
            </w:tcBorders>
          </w:tcPr>
          <w:p>
            <w:r>
              <w:rPr>
                <w:rFonts w:ascii="Arial" w:hAnsi="Arial"/>
                <w:b w:val="0"/>
                <w:i w:val="0"/>
                <w:color w:val="1A212B"/>
                <w:sz w:val="20"/>
              </w:rPr>
              <w:t>3. Problem Definition</w:t>
            </w:r>
          </w:p>
        </w:tc>
      </w:tr>
      <w:tr>
        <w:tc>
          <w:tcPr>
            <w:tcW w:type="dxa" w:w="4680"/>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1A212B"/>
                <w:sz w:val="17"/>
              </w:rPr>
              <w:t>4</w:t>
            </w:r>
          </w:p>
        </w:tc>
        <w:tc>
          <w:tcPr>
            <w:tcW w:type="dxa" w:w="4680"/>
            <w:tcBorders>
              <w:top w:val="single" w:sz="8" w:space="0" w:color="C6D1C6"/>
              <w:left w:val="single" w:sz="8" w:space="0" w:color="C6D1C6"/>
              <w:bottom w:val="single" w:sz="8" w:space="0" w:color="C6D1C6"/>
              <w:right w:val="single" w:sz="8" w:space="0" w:color="C6D1C6"/>
            </w:tcBorders>
          </w:tcPr>
          <w:p>
            <w:r>
              <w:rPr>
                <w:rFonts w:ascii="Arial" w:hAnsi="Arial"/>
                <w:b w:val="0"/>
                <w:i w:val="0"/>
                <w:color w:val="1A212B"/>
                <w:sz w:val="20"/>
              </w:rPr>
              <w:t>4. DatumX Architecture Overview</w:t>
            </w:r>
          </w:p>
        </w:tc>
      </w:tr>
      <w:tr>
        <w:tc>
          <w:tcPr>
            <w:tcW w:type="dxa" w:w="4680"/>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1A212B"/>
                <w:sz w:val="17"/>
              </w:rPr>
              <w:t>5</w:t>
            </w:r>
          </w:p>
        </w:tc>
        <w:tc>
          <w:tcPr>
            <w:tcW w:type="dxa" w:w="4680"/>
            <w:tcBorders>
              <w:top w:val="single" w:sz="8" w:space="0" w:color="C6D1C6"/>
              <w:left w:val="single" w:sz="8" w:space="0" w:color="C6D1C6"/>
              <w:bottom w:val="single" w:sz="8" w:space="0" w:color="C6D1C6"/>
              <w:right w:val="single" w:sz="8" w:space="0" w:color="C6D1C6"/>
            </w:tcBorders>
          </w:tcPr>
          <w:p>
            <w:r>
              <w:rPr>
                <w:rFonts w:ascii="Arial" w:hAnsi="Arial"/>
                <w:b w:val="0"/>
                <w:i w:val="0"/>
                <w:color w:val="1A212B"/>
                <w:sz w:val="20"/>
              </w:rPr>
              <w:t>5. Core Protocol Design</w:t>
            </w:r>
          </w:p>
        </w:tc>
      </w:tr>
      <w:tr>
        <w:tc>
          <w:tcPr>
            <w:tcW w:type="dxa" w:w="4680"/>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1A212B"/>
                <w:sz w:val="17"/>
              </w:rPr>
              <w:t>6</w:t>
            </w:r>
          </w:p>
        </w:tc>
        <w:tc>
          <w:tcPr>
            <w:tcW w:type="dxa" w:w="4680"/>
            <w:tcBorders>
              <w:top w:val="single" w:sz="8" w:space="0" w:color="C6D1C6"/>
              <w:left w:val="single" w:sz="8" w:space="0" w:color="C6D1C6"/>
              <w:bottom w:val="single" w:sz="8" w:space="0" w:color="C6D1C6"/>
              <w:right w:val="single" w:sz="8" w:space="0" w:color="C6D1C6"/>
            </w:tcBorders>
          </w:tcPr>
          <w:p>
            <w:r>
              <w:rPr>
                <w:rFonts w:ascii="Arial" w:hAnsi="Arial"/>
                <w:b w:val="0"/>
                <w:i w:val="0"/>
                <w:color w:val="1A212B"/>
                <w:sz w:val="20"/>
              </w:rPr>
              <w:t>6. Adapter Model (Key Innovation)</w:t>
            </w:r>
          </w:p>
        </w:tc>
      </w:tr>
      <w:tr>
        <w:tc>
          <w:tcPr>
            <w:tcW w:type="dxa" w:w="4680"/>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1A212B"/>
                <w:sz w:val="17"/>
              </w:rPr>
              <w:t>7</w:t>
            </w:r>
          </w:p>
        </w:tc>
        <w:tc>
          <w:tcPr>
            <w:tcW w:type="dxa" w:w="4680"/>
            <w:tcBorders>
              <w:top w:val="single" w:sz="8" w:space="0" w:color="C6D1C6"/>
              <w:left w:val="single" w:sz="8" w:space="0" w:color="C6D1C6"/>
              <w:bottom w:val="single" w:sz="8" w:space="0" w:color="C6D1C6"/>
              <w:right w:val="single" w:sz="8" w:space="0" w:color="C6D1C6"/>
            </w:tcBorders>
          </w:tcPr>
          <w:p>
            <w:r>
              <w:rPr>
                <w:rFonts w:ascii="Arial" w:hAnsi="Arial"/>
                <w:b w:val="0"/>
                <w:i w:val="0"/>
                <w:color w:val="1A212B"/>
                <w:sz w:val="20"/>
              </w:rPr>
              <w:t>7. Dataset Lifecycle Model</w:t>
            </w:r>
          </w:p>
        </w:tc>
      </w:tr>
      <w:tr>
        <w:tc>
          <w:tcPr>
            <w:tcW w:type="dxa" w:w="4680"/>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1A212B"/>
                <w:sz w:val="17"/>
              </w:rPr>
              <w:t>8</w:t>
            </w:r>
          </w:p>
        </w:tc>
        <w:tc>
          <w:tcPr>
            <w:tcW w:type="dxa" w:w="4680"/>
            <w:tcBorders>
              <w:top w:val="single" w:sz="8" w:space="0" w:color="C6D1C6"/>
              <w:left w:val="single" w:sz="8" w:space="0" w:color="C6D1C6"/>
              <w:bottom w:val="single" w:sz="8" w:space="0" w:color="C6D1C6"/>
              <w:right w:val="single" w:sz="8" w:space="0" w:color="C6D1C6"/>
            </w:tcBorders>
          </w:tcPr>
          <w:p>
            <w:r>
              <w:rPr>
                <w:rFonts w:ascii="Arial" w:hAnsi="Arial"/>
                <w:b w:val="0"/>
                <w:i w:val="0"/>
                <w:color w:val="1A212B"/>
                <w:sz w:val="20"/>
              </w:rPr>
              <w:t>8. Validation + Consensus System</w:t>
            </w:r>
          </w:p>
        </w:tc>
      </w:tr>
      <w:tr>
        <w:tc>
          <w:tcPr>
            <w:tcW w:type="dxa" w:w="4680"/>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1A212B"/>
                <w:sz w:val="17"/>
              </w:rPr>
              <w:t>9</w:t>
            </w:r>
          </w:p>
        </w:tc>
        <w:tc>
          <w:tcPr>
            <w:tcW w:type="dxa" w:w="4680"/>
            <w:tcBorders>
              <w:top w:val="single" w:sz="8" w:space="0" w:color="C6D1C6"/>
              <w:left w:val="single" w:sz="8" w:space="0" w:color="C6D1C6"/>
              <w:bottom w:val="single" w:sz="8" w:space="0" w:color="C6D1C6"/>
              <w:right w:val="single" w:sz="8" w:space="0" w:color="C6D1C6"/>
            </w:tcBorders>
          </w:tcPr>
          <w:p>
            <w:r>
              <w:rPr>
                <w:rFonts w:ascii="Arial" w:hAnsi="Arial"/>
                <w:b w:val="0"/>
                <w:i w:val="0"/>
                <w:color w:val="1A212B"/>
                <w:sz w:val="20"/>
              </w:rPr>
              <w:t>9. Security + Integrity Model</w:t>
            </w:r>
          </w:p>
        </w:tc>
      </w:tr>
      <w:tr>
        <w:tc>
          <w:tcPr>
            <w:tcW w:type="dxa" w:w="4680"/>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1A212B"/>
                <w:sz w:val="17"/>
              </w:rPr>
              <w:t>10</w:t>
            </w:r>
          </w:p>
        </w:tc>
        <w:tc>
          <w:tcPr>
            <w:tcW w:type="dxa" w:w="4680"/>
            <w:tcBorders>
              <w:top w:val="single" w:sz="8" w:space="0" w:color="C6D1C6"/>
              <w:left w:val="single" w:sz="8" w:space="0" w:color="C6D1C6"/>
              <w:bottom w:val="single" w:sz="8" w:space="0" w:color="C6D1C6"/>
              <w:right w:val="single" w:sz="8" w:space="0" w:color="C6D1C6"/>
            </w:tcBorders>
          </w:tcPr>
          <w:p>
            <w:r>
              <w:rPr>
                <w:rFonts w:ascii="Arial" w:hAnsi="Arial"/>
                <w:b w:val="0"/>
                <w:i w:val="0"/>
                <w:color w:val="1A212B"/>
                <w:sz w:val="20"/>
              </w:rPr>
              <w:t>10. Frontend System (Resource Integrity Console)</w:t>
            </w:r>
          </w:p>
        </w:tc>
      </w:tr>
      <w:tr>
        <w:tc>
          <w:tcPr>
            <w:tcW w:type="dxa" w:w="4680"/>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1A212B"/>
                <w:sz w:val="17"/>
              </w:rPr>
              <w:t>11</w:t>
            </w:r>
          </w:p>
        </w:tc>
        <w:tc>
          <w:tcPr>
            <w:tcW w:type="dxa" w:w="4680"/>
            <w:tcBorders>
              <w:top w:val="single" w:sz="8" w:space="0" w:color="C6D1C6"/>
              <w:left w:val="single" w:sz="8" w:space="0" w:color="C6D1C6"/>
              <w:bottom w:val="single" w:sz="8" w:space="0" w:color="C6D1C6"/>
              <w:right w:val="single" w:sz="8" w:space="0" w:color="C6D1C6"/>
            </w:tcBorders>
          </w:tcPr>
          <w:p>
            <w:r>
              <w:rPr>
                <w:rFonts w:ascii="Arial" w:hAnsi="Arial"/>
                <w:b w:val="0"/>
                <w:i w:val="0"/>
                <w:color w:val="1A212B"/>
                <w:sz w:val="20"/>
              </w:rPr>
              <w:t>11. XRPL EVM Deployment Model</w:t>
            </w:r>
          </w:p>
        </w:tc>
      </w:tr>
      <w:tr>
        <w:tc>
          <w:tcPr>
            <w:tcW w:type="dxa" w:w="4680"/>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1A212B"/>
                <w:sz w:val="17"/>
              </w:rPr>
              <w:t>12</w:t>
            </w:r>
          </w:p>
        </w:tc>
        <w:tc>
          <w:tcPr>
            <w:tcW w:type="dxa" w:w="4680"/>
            <w:tcBorders>
              <w:top w:val="single" w:sz="8" w:space="0" w:color="C6D1C6"/>
              <w:left w:val="single" w:sz="8" w:space="0" w:color="C6D1C6"/>
              <w:bottom w:val="single" w:sz="8" w:space="0" w:color="C6D1C6"/>
              <w:right w:val="single" w:sz="8" w:space="0" w:color="C6D1C6"/>
            </w:tcBorders>
          </w:tcPr>
          <w:p>
            <w:r>
              <w:rPr>
                <w:rFonts w:ascii="Arial" w:hAnsi="Arial"/>
                <w:b w:val="0"/>
                <w:i w:val="0"/>
                <w:color w:val="1A212B"/>
                <w:sz w:val="20"/>
              </w:rPr>
              <w:t>12. Tradeoffs + Limitations</w:t>
            </w:r>
          </w:p>
        </w:tc>
      </w:tr>
      <w:tr>
        <w:tc>
          <w:tcPr>
            <w:tcW w:type="dxa" w:w="4680"/>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1A212B"/>
                <w:sz w:val="17"/>
              </w:rPr>
              <w:t>13</w:t>
            </w:r>
          </w:p>
        </w:tc>
        <w:tc>
          <w:tcPr>
            <w:tcW w:type="dxa" w:w="4680"/>
            <w:tcBorders>
              <w:top w:val="single" w:sz="8" w:space="0" w:color="C6D1C6"/>
              <w:left w:val="single" w:sz="8" w:space="0" w:color="C6D1C6"/>
              <w:bottom w:val="single" w:sz="8" w:space="0" w:color="C6D1C6"/>
              <w:right w:val="single" w:sz="8" w:space="0" w:color="C6D1C6"/>
            </w:tcBorders>
          </w:tcPr>
          <w:p>
            <w:r>
              <w:rPr>
                <w:rFonts w:ascii="Arial" w:hAnsi="Arial"/>
                <w:b w:val="0"/>
                <w:i w:val="0"/>
                <w:color w:val="1A212B"/>
                <w:sz w:val="20"/>
              </w:rPr>
              <w:t>13. Future Extensions</w:t>
            </w:r>
          </w:p>
        </w:tc>
      </w:tr>
      <w:tr>
        <w:tc>
          <w:tcPr>
            <w:tcW w:type="dxa" w:w="4680"/>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1A212B"/>
                <w:sz w:val="17"/>
              </w:rPr>
              <w:t>14</w:t>
            </w:r>
          </w:p>
        </w:tc>
        <w:tc>
          <w:tcPr>
            <w:tcW w:type="dxa" w:w="4680"/>
            <w:tcBorders>
              <w:top w:val="single" w:sz="8" w:space="0" w:color="C6D1C6"/>
              <w:left w:val="single" w:sz="8" w:space="0" w:color="C6D1C6"/>
              <w:bottom w:val="single" w:sz="8" w:space="0" w:color="C6D1C6"/>
              <w:right w:val="single" w:sz="8" w:space="0" w:color="C6D1C6"/>
            </w:tcBorders>
          </w:tcPr>
          <w:p>
            <w:r>
              <w:rPr>
                <w:rFonts w:ascii="Arial" w:hAnsi="Arial"/>
                <w:b w:val="0"/>
                <w:i w:val="0"/>
                <w:color w:val="1A212B"/>
                <w:sz w:val="20"/>
              </w:rPr>
              <w:t>14. Why This Matters</w:t>
            </w:r>
          </w:p>
        </w:tc>
      </w:tr>
      <w:tr>
        <w:tc>
          <w:tcPr>
            <w:tcW w:type="dxa" w:w="4680"/>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1A212B"/>
                <w:sz w:val="17"/>
              </w:rPr>
              <w:t>15</w:t>
            </w:r>
          </w:p>
        </w:tc>
        <w:tc>
          <w:tcPr>
            <w:tcW w:type="dxa" w:w="4680"/>
            <w:tcBorders>
              <w:top w:val="single" w:sz="8" w:space="0" w:color="C6D1C6"/>
              <w:left w:val="single" w:sz="8" w:space="0" w:color="C6D1C6"/>
              <w:bottom w:val="single" w:sz="8" w:space="0" w:color="C6D1C6"/>
              <w:right w:val="single" w:sz="8" w:space="0" w:color="C6D1C6"/>
            </w:tcBorders>
          </w:tcPr>
          <w:p>
            <w:r>
              <w:rPr>
                <w:rFonts w:ascii="Arial" w:hAnsi="Arial"/>
                <w:b w:val="0"/>
                <w:i w:val="0"/>
                <w:color w:val="1A212B"/>
                <w:sz w:val="20"/>
              </w:rPr>
              <w:t>15. Conclusion</w:t>
            </w:r>
          </w:p>
        </w:tc>
      </w:tr>
    </w:tbl>
    <w:p>
      <w:pPr>
        <w:sectPr>
          <w:headerReference w:type="default" r:id="rId12"/>
          <w:footerReference w:type="default" r:id="rId13"/>
          <w:pgSz w:w="12240" w:h="15840"/>
          <w:pgMar w:top="1440" w:right="1440" w:bottom="1440" w:left="1440" w:header="720" w:footer="720" w:gutter="0"/>
          <w:cols w:space="720"/>
          <w:docGrid w:linePitch="360"/>
        </w:sectPr>
      </w:pPr>
    </w:p>
    <w:tbl>
      <w:tblPr>
        <w:tblW w:type="auto" w:w="0"/>
        <w:jc w:val="left"/>
        <w:tblLook w:firstColumn="1" w:firstRow="1" w:lastColumn="0" w:lastRow="0" w:noHBand="0" w:noVBand="1" w:val="04A0"/>
      </w:tblPr>
      <w:tblGrid>
        <w:gridCol w:w="9360"/>
      </w:tblGrid>
      <w:tr>
        <w:tc>
          <w:tcPr>
            <w:tcW w:type="dxa" w:w="9360"/>
            <w:shd w:fill="EEF4EE"/>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78A37B"/>
                <w:sz w:val="17"/>
              </w:rPr>
              <w:t>COMPANION</w:t>
            </w:r>
          </w:p>
          <w:p>
            <w:pPr>
              <w:pStyle w:val="DatumXCallout"/>
              <w:spacing w:before="20" w:after="80" w:line="274" w:lineRule="auto"/>
            </w:pPr>
            <w:r>
              <w:rPr>
                <w:rFonts w:ascii="Arial" w:hAnsi="Arial"/>
                <w:b w:val="0"/>
                <w:i/>
                <w:color w:val="1A212B"/>
                <w:sz w:val="21"/>
              </w:rPr>
              <w:t>Companion artifacts: Executive Technical Brief | Generated DOCX exports in output/doc/</w:t>
            </w:r>
          </w:p>
        </w:tc>
      </w:tr>
    </w:tbl>
    <w:p>
      <w:pPr>
        <w:pStyle w:val="DatumXSectionTitle"/>
        <w:pBdr>
          <w:bottom w:val="single" w:sz="10" w:space="1" w:color="C6D1C6"/>
        </w:pBdr>
      </w:pPr>
      <w:r>
        <w:rPr>
          <w:rFonts w:ascii="Courier New" w:hAnsi="Courier New"/>
          <w:b/>
          <w:i w:val="0"/>
          <w:color w:val="1A212B"/>
          <w:sz w:val="28"/>
        </w:rPr>
        <w:t>1. Executive Summary</w:t>
      </w:r>
    </w:p>
    <w:tbl>
      <w:tblPr>
        <w:tblW w:type="auto" w:w="0"/>
        <w:jc w:val="left"/>
        <w:tblLook w:firstColumn="1" w:firstRow="1" w:lastColumn="0" w:lastRow="0" w:noHBand="0" w:noVBand="1" w:val="04A0"/>
      </w:tblPr>
      <w:tblGrid>
        <w:gridCol w:w="9360"/>
      </w:tblGrid>
      <w:tr>
        <w:tc>
          <w:tcPr>
            <w:tcW w:type="dxa" w:w="9360"/>
            <w:shd w:fill="EEF4EE"/>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78A37B"/>
                <w:sz w:val="17"/>
              </w:rPr>
              <w:t>THESIS</w:t>
            </w:r>
          </w:p>
          <w:p>
            <w:pPr>
              <w:pStyle w:val="DatumXCallout"/>
              <w:spacing w:before="20" w:after="80" w:line="274" w:lineRule="auto"/>
            </w:pPr>
            <w:r>
              <w:rPr>
                <w:rFonts w:ascii="Arial" w:hAnsi="Arial"/>
                <w:b w:val="0"/>
                <w:i/>
                <w:color w:val="1A212B"/>
                <w:sz w:val="21"/>
              </w:rPr>
              <w:t>DatumX is not trying to store geology on-chain. It is defining a release-governance boundary for transformed industrial data.</w:t>
            </w:r>
          </w:p>
        </w:tc>
      </w:tr>
    </w:tbl>
    <w:p>
      <w:pPr>
        <w:pStyle w:val="DatumXBody"/>
        <w:spacing w:before="0" w:after="140" w:line="283" w:lineRule="auto"/>
        <w:jc w:val="both"/>
      </w:pPr>
      <w:r>
        <w:rPr>
          <w:rFonts w:ascii="Arial" w:hAnsi="Arial"/>
          <w:b w:val="0"/>
          <w:i w:val="0"/>
          <w:color w:val="1A212B"/>
          <w:sz w:val="21"/>
        </w:rPr>
        <w:t>DatumX is a protocol for verifying the integrity of transformed industrial datasets. It is designed for workflows in which raw field information is not used directly, but is first passed through a chain of extraction, normalization, interpretation, summarization, and targeting steps before it becomes actionable. In mineral exploration, that transformation chain can include digitizing historical drill records, converting analog gamma traces into structured data, interpreting mineralized intervals, building composite summaries, and ultimately generating decision-grade targeting packages. By the time the final output is consumed, the critical question is no longer whether data exists. The critical question is whether the transformed release can be trusted.</w:t>
      </w:r>
    </w:p>
    <w:p>
      <w:pPr>
        <w:pStyle w:val="DatumXBody"/>
        <w:spacing w:before="0" w:after="140" w:line="283" w:lineRule="auto"/>
        <w:jc w:val="both"/>
      </w:pPr>
      <w:r>
        <w:rPr>
          <w:rFonts w:ascii="Arial" w:hAnsi="Arial"/>
          <w:b w:val="0"/>
          <w:i w:val="0"/>
          <w:color w:val="1A212B"/>
          <w:sz w:val="21"/>
        </w:rPr>
        <w:t>That distinction matters because modern industrial data pipelines are increasingly AI-assisted. Computer vision and automated extraction can unlock dormant archives at meaningful scale, but the resulting operational problem is not one of storage. It is one of release integrity. Once a document has been scanned, parsed, cleaned, merged, and interpreted by multiple tools and operators, the technical and economic value of the final dataset depends on provenance, version lineage, validator accountability, and confidence discipline. Without those controls, transformed datasets become difficult to defend in technical review, difficult to compare over time, and risky to use in capital allocation.</w:t>
      </w:r>
    </w:p>
    <w:p>
      <w:pPr>
        <w:pStyle w:val="DatumXBody"/>
        <w:spacing w:before="0" w:after="140" w:line="283" w:lineRule="auto"/>
        <w:jc w:val="both"/>
      </w:pPr>
      <w:r>
        <w:rPr>
          <w:rFonts w:ascii="Arial" w:hAnsi="Arial"/>
          <w:b w:val="0"/>
          <w:i w:val="0"/>
          <w:color w:val="1A212B"/>
          <w:sz w:val="21"/>
        </w:rPr>
        <w:t>DatumX addresses that problem by treating a dataset release as a governed analytical unit rather than a file blob. A release is anchored with a canonical content hash, project identity, dataset stage, parent reference, validator review state, aggregate confidence, and a finalization outcome. Instead of letting lineage remain implicit in folders, spreadsheets, or operator memory, the protocol records and enforces the path a release took to become decision-grade. Instead of assuming that transformed outputs are valid because they came from a sophisticated pipeline, DatumX requires validators to make explicit approval or rejection decisions before an auditor can close the release.</w:t>
      </w:r>
    </w:p>
    <w:p>
      <w:pPr>
        <w:pStyle w:val="DatumXBody"/>
        <w:spacing w:before="0" w:after="140" w:line="283" w:lineRule="auto"/>
        <w:jc w:val="both"/>
      </w:pPr>
      <w:r>
        <w:rPr>
          <w:rFonts w:ascii="Arial" w:hAnsi="Arial"/>
          <w:b w:val="0"/>
          <w:i w:val="0"/>
          <w:color w:val="1A212B"/>
          <w:sz w:val="21"/>
        </w:rPr>
        <w:t>The immediate use case is mineral exploration. The inspiration is a workflow in which 1,211 historical uranium drillholes are digitized from legacy records and converted into structured, interpretable, and ultimately decision-bearing releases. That is a realistic industrial setting for DatumX because it combines three pressures that now routinely appear together: historical data scarcity, AI-assisted transformation, and materially consequential technical decisions. If those transformed releases are going to influence drill targeting, resource definition, or operational prioritization, then they need more than file storage and metadata tags. They need a verifiable release discipline.</w:t>
      </w:r>
    </w:p>
    <w:p>
      <w:pPr>
        <w:pStyle w:val="DatumXBody"/>
        <w:spacing w:before="0" w:after="140" w:line="283" w:lineRule="auto"/>
        <w:jc w:val="both"/>
      </w:pPr>
      <w:r>
        <w:rPr>
          <w:rFonts w:ascii="Arial" w:hAnsi="Arial"/>
          <w:b w:val="0"/>
          <w:i w:val="0"/>
          <w:color w:val="1A212B"/>
          <w:sz w:val="21"/>
        </w:rPr>
        <w:t>The key innovation in DatumX is not “putting geology on-chain.” The innovation is creating a protocol boundary around transformed analytical releases. Adapters normalize project-specific inputs into a canonical shape. A router isolates submission logic from project variation. A registry stores the release record and blocks duplicate hashes. A lineage graph enforces deterministic parent-child progression. A validation module captures validator reviews and threshold math. An auditor-only finalization step cleanly separates review from release closure. The result is infrastructure for trusted transformed data, not just a dashboard or a generic smart contract exercise.</w:t>
      </w:r>
    </w:p>
    <w:p>
      <w:pPr>
        <w:pStyle w:val="DatumXBody"/>
        <w:spacing w:before="0" w:after="140" w:line="283" w:lineRule="auto"/>
        <w:jc w:val="both"/>
      </w:pPr>
      <w:r>
        <w:rPr>
          <w:rFonts w:ascii="Arial" w:hAnsi="Arial"/>
          <w:b w:val="0"/>
          <w:i w:val="0"/>
          <w:color w:val="1A212B"/>
          <w:sz w:val="21"/>
        </w:rPr>
        <w:t>DatumX matters now because AI-assisted transformation is becoming normal across industrial data systems, while trust controls for those transformations remain underdeveloped. The protocol’s relevance extends beyond one exploration program. Anywhere data moves through multi-stage transformation before becoming operationally meaningful, DatumX’s core question remains valid: how do you prove that a transformed release is legitimate, reviewable, and decision-worthy after multiple computational and human interventions have changed it?</w:t>
      </w:r>
    </w:p>
    <w:p>
      <w:pPr>
        <w:pStyle w:val="DatumXSectionTitle"/>
        <w:pBdr>
          <w:bottom w:val="single" w:sz="10" w:space="1" w:color="C6D1C6"/>
        </w:pBdr>
      </w:pPr>
      <w:r>
        <w:rPr>
          <w:rFonts w:ascii="Courier New" w:hAnsi="Courier New"/>
          <w:b/>
          <w:i w:val="0"/>
          <w:color w:val="1A212B"/>
          <w:sz w:val="28"/>
        </w:rPr>
        <w:t>2. Industry Context</w:t>
      </w:r>
    </w:p>
    <w:p>
      <w:pPr>
        <w:pStyle w:val="DatumXBody"/>
        <w:spacing w:before="0" w:after="140" w:line="283" w:lineRule="auto"/>
        <w:jc w:val="both"/>
      </w:pPr>
      <w:r>
        <w:rPr>
          <w:rFonts w:ascii="Arial" w:hAnsi="Arial"/>
          <w:b w:val="0"/>
          <w:i w:val="0"/>
          <w:color w:val="1A212B"/>
          <w:sz w:val="21"/>
        </w:rPr>
        <w:t>Mineral exploration has always depended on partial information. Technical teams operate in environments where historical drill campaigns, analog well logs, geophysical traces, field annotations, compositing decisions, and geological interpretations accumulate over years or decades. Much of that information was not created for modern machine-readable systems. It exists in scanned logs, handwritten records, raster trace images, and fragmented internal archives. Even where the underlying information is valuable, the operational friction of extracting it into contemporary analytical workflows is high.</w:t>
      </w:r>
    </w:p>
    <w:p>
      <w:pPr>
        <w:pStyle w:val="DatumXBody"/>
        <w:spacing w:before="0" w:after="140" w:line="283" w:lineRule="auto"/>
        <w:jc w:val="both"/>
      </w:pPr>
      <w:r>
        <w:rPr>
          <w:rFonts w:ascii="Arial" w:hAnsi="Arial"/>
          <w:b w:val="0"/>
          <w:i w:val="0"/>
          <w:color w:val="1A212B"/>
          <w:sz w:val="21"/>
        </w:rPr>
        <w:t>In uranium exploration, particularly in brownfield environments, this problem is especially visible. Exploration teams often inherit large back catalogs of historical drillhole data with uneven formatting, inconsistent logging standards, and mixed provenance quality. Analog gamma traces may carry meaningful signals about mineralization, but if those traces remain trapped in scanned artifacts, they are difficult to use in modern targeting, validation, and resource workflows. The result is that potentially valuable historical information stays underutilized because the cost of turning it into structured analytical input is too high.</w:t>
      </w:r>
    </w:p>
    <w:p>
      <w:pPr>
        <w:pStyle w:val="DatumXBody"/>
        <w:spacing w:before="0" w:after="140" w:line="283" w:lineRule="auto"/>
        <w:jc w:val="both"/>
      </w:pPr>
      <w:r>
        <w:rPr>
          <w:rFonts w:ascii="Arial" w:hAnsi="Arial"/>
          <w:b w:val="0"/>
          <w:i w:val="0"/>
          <w:color w:val="1A212B"/>
          <w:sz w:val="21"/>
        </w:rPr>
        <w:t>AI-driven digitization changes that equation. Computer vision pipelines can extract traces from historical scans. Language and parsing systems can structure records from unstandardized inputs. Model-assisted QA can help identify anomalies, normalize units, and flag gaps. This makes it economically realistic to unlock archives that were previously too expensive to digitize comprehensively. What was once a manual bottleneck becomes a scalable pipeline.</w:t>
      </w:r>
    </w:p>
    <w:p>
      <w:pPr>
        <w:pStyle w:val="DatumXBody"/>
        <w:spacing w:before="0" w:after="140" w:line="283" w:lineRule="auto"/>
        <w:jc w:val="both"/>
      </w:pPr>
      <w:r>
        <w:rPr>
          <w:rFonts w:ascii="Arial" w:hAnsi="Arial"/>
          <w:b w:val="0"/>
          <w:i w:val="0"/>
          <w:color w:val="1A212B"/>
          <w:sz w:val="21"/>
        </w:rPr>
        <w:t>But that shift creates a new class of problem. Once the transformation layer becomes cheap, transformed datasets themselves become core decision inputs. A targeting package derived from digitized historical records is no longer a research convenience; it can influence where a program drills next. A composite summary generated downstream of multiple AI-assisted steps is no longer just internal context; it may shape technical review and capital deployment. The more effective the transformation pipeline becomes, the more important it is to prove that each release is traceable and defensible.</w:t>
      </w:r>
    </w:p>
    <w:p>
      <w:pPr>
        <w:pStyle w:val="DatumXBody"/>
        <w:spacing w:before="0" w:after="140" w:line="283" w:lineRule="auto"/>
        <w:jc w:val="both"/>
      </w:pPr>
      <w:r>
        <w:rPr>
          <w:rFonts w:ascii="Arial" w:hAnsi="Arial"/>
          <w:b w:val="0"/>
          <w:i w:val="0"/>
          <w:color w:val="1A212B"/>
          <w:sz w:val="21"/>
        </w:rPr>
        <w:t>Current systems often fail at that point. Files can be stored, versioned, and shared, but those mechanisms are not the same as release integrity. Shared drives and cloud buckets can preserve documents without preserving analytical lineage. Data warehouses can expose tables without proving which upstream release they came from. Workflow tools can record actions without enforcing whether a child release was built from a finalized parent. Audit logs can capture that something happened without clarifying who approved the release, under what thresholds, and whether the confidence was sufficient for the next decision stage.</w:t>
      </w:r>
    </w:p>
    <w:p>
      <w:pPr>
        <w:pStyle w:val="DatumXBody"/>
        <w:spacing w:before="0" w:after="140" w:line="283" w:lineRule="auto"/>
        <w:jc w:val="both"/>
      </w:pPr>
      <w:r>
        <w:rPr>
          <w:rFonts w:ascii="Arial" w:hAnsi="Arial"/>
          <w:b w:val="0"/>
          <w:i w:val="0"/>
          <w:color w:val="1A212B"/>
          <w:sz w:val="21"/>
        </w:rPr>
        <w:t>This is where the conventional framing of “data management” becomes insufficient. Exploration organizations are not merely managing static records. They are generating transformed analytical products whose credibility depends on reproducibility, lineage discipline, and reviewer accountability. AI has increased the supply of transformable inputs. It has not, by itself, solved the institutional need for trusted release semantics.</w:t>
      </w:r>
    </w:p>
    <w:p>
      <w:pPr>
        <w:pStyle w:val="DatumXBody"/>
        <w:spacing w:before="0" w:after="140" w:line="283" w:lineRule="auto"/>
        <w:jc w:val="both"/>
      </w:pPr>
      <w:r>
        <w:rPr>
          <w:rFonts w:ascii="Arial" w:hAnsi="Arial"/>
          <w:b w:val="0"/>
          <w:i w:val="0"/>
          <w:color w:val="1A212B"/>
          <w:sz w:val="21"/>
        </w:rPr>
        <w:t>DatumX emerges from that shift. It recognizes that modern exploration workflows are increasingly shaped by transformed datasets, not just original records, and that these transformed releases need explicit protocol-level controls if they are going to carry decision weight.</w:t>
      </w:r>
    </w:p>
    <w:p>
      <w:pPr>
        <w:pStyle w:val="DatumXSectionTitle"/>
        <w:pBdr>
          <w:bottom w:val="single" w:sz="10" w:space="1" w:color="C6D1C6"/>
        </w:pBdr>
      </w:pPr>
      <w:r>
        <w:rPr>
          <w:rFonts w:ascii="Courier New" w:hAnsi="Courier New"/>
          <w:b/>
          <w:i w:val="0"/>
          <w:color w:val="1A212B"/>
          <w:sz w:val="28"/>
        </w:rPr>
        <w:t>3. Problem Definition</w:t>
      </w:r>
    </w:p>
    <w:p>
      <w:pPr>
        <w:pStyle w:val="DatumXBody"/>
        <w:spacing w:before="0" w:after="140" w:line="283" w:lineRule="auto"/>
        <w:jc w:val="both"/>
      </w:pPr>
      <w:r>
        <w:rPr>
          <w:rFonts w:ascii="Arial" w:hAnsi="Arial"/>
          <w:b w:val="0"/>
          <w:i w:val="0"/>
          <w:color w:val="1A212B"/>
          <w:sz w:val="21"/>
        </w:rPr>
        <w:t>The real problem DatumX addresses is trust in transformed datasets.</w:t>
      </w:r>
    </w:p>
    <w:p>
      <w:pPr>
        <w:pStyle w:val="DatumXBody"/>
        <w:spacing w:before="0" w:after="140" w:line="283" w:lineRule="auto"/>
        <w:jc w:val="both"/>
      </w:pPr>
      <w:r>
        <w:rPr>
          <w:rFonts w:ascii="Arial" w:hAnsi="Arial"/>
          <w:b w:val="0"/>
          <w:i w:val="0"/>
          <w:color w:val="1A212B"/>
          <w:sz w:val="21"/>
        </w:rPr>
        <w:t>That problem begins with the structure of the modern pipeline. Data does not move directly from original source to final decision. It moves through stages. A raw scan batch becomes extracted traces. Extracted traces become interpreted mineralized intervals. Intervals may become composite summaries. Composite summaries may feed targeting packages. Each stage introduces new computation, new assumptions, new quality controls, and new opportunities for divergence between what was originally observed and what is now being consumed.</w:t>
      </w:r>
    </w:p>
    <w:p>
      <w:pPr>
        <w:pStyle w:val="DatumXBody"/>
        <w:spacing w:before="0" w:after="140" w:line="283" w:lineRule="auto"/>
        <w:jc w:val="both"/>
      </w:pPr>
      <w:r>
        <w:rPr>
          <w:rFonts w:ascii="Arial" w:hAnsi="Arial"/>
          <w:b w:val="0"/>
          <w:i w:val="0"/>
          <w:color w:val="1A212B"/>
          <w:sz w:val="21"/>
        </w:rPr>
        <w:t>In that multi-stage environment, storing files is not enough. A technically serious system must answer at least five questions for every release.</w:t>
      </w:r>
    </w:p>
    <w:p>
      <w:pPr>
        <w:pStyle w:val="DatumXBody"/>
        <w:spacing w:before="0" w:after="140" w:line="283" w:lineRule="auto"/>
        <w:jc w:val="both"/>
      </w:pPr>
      <w:r>
        <w:rPr>
          <w:rFonts w:ascii="Arial" w:hAnsi="Arial"/>
          <w:b w:val="0"/>
          <w:i w:val="0"/>
          <w:color w:val="1A212B"/>
          <w:sz w:val="21"/>
        </w:rPr>
        <w:t>First, what exactly was submitted? Second, what prior release did it derive from? Third, who reviewed it, and did they approve or reject it? Fourth, what aggregate confidence did the release achieve? Fifth, was the release actually finalized for downstream use, or was it merely present in the system?</w:t>
      </w:r>
    </w:p>
    <w:p>
      <w:pPr>
        <w:pStyle w:val="DatumXBody"/>
        <w:spacing w:before="0" w:after="140" w:line="283" w:lineRule="auto"/>
        <w:jc w:val="both"/>
      </w:pPr>
      <w:r>
        <w:rPr>
          <w:rFonts w:ascii="Arial" w:hAnsi="Arial"/>
          <w:b w:val="0"/>
          <w:i w:val="0"/>
          <w:color w:val="1A212B"/>
          <w:sz w:val="21"/>
        </w:rPr>
        <w:t>Without those answers, organizations operate on weak substitutes. They rely on naming conventions, version folders, email chains, and institutional memory. Those tools are common because they are easy to adopt, but they break down under pressure. When multiple transformed releases exist for the same project, it becomes difficult to prove which one is current. When a downstream package is generated from an upstream package that was never actually approved, the lineage problem may remain invisible until a technical review exposes it. When multiple reviewers have different opinions, there may be no durable consensus record. When an AI pipeline changes behavior or configuration, there may be no canonical release boundary that shows where one transformation state ended and the next began.</w:t>
      </w:r>
    </w:p>
    <w:p>
      <w:pPr>
        <w:pStyle w:val="DatumXBody"/>
        <w:spacing w:before="0" w:after="140" w:line="283" w:lineRule="auto"/>
        <w:jc w:val="both"/>
      </w:pPr>
      <w:r>
        <w:rPr>
          <w:rFonts w:ascii="Arial" w:hAnsi="Arial"/>
          <w:b w:val="0"/>
          <w:i w:val="0"/>
          <w:color w:val="1A212B"/>
          <w:sz w:val="21"/>
        </w:rPr>
        <w:t>The consequence is not merely clerical confusion. The consequence is decision risk. Exploration capital is allocated based on technical interpretation. If the transformed data behind those interpretations is ambiguous, capital discipline weakens. A model can be technically sophisticated and still produce outputs that are difficult to defend because the release history is not explicit. The question then becomes less about model quality and more about whether the system around the model can prove what happened.</w:t>
      </w:r>
    </w:p>
    <w:p>
      <w:pPr>
        <w:pStyle w:val="DatumXBody"/>
        <w:spacing w:before="0" w:after="140" w:line="283" w:lineRule="auto"/>
        <w:jc w:val="both"/>
      </w:pPr>
      <w:r>
        <w:rPr>
          <w:rFonts w:ascii="Arial" w:hAnsi="Arial"/>
          <w:b w:val="0"/>
          <w:i w:val="0"/>
          <w:color w:val="1A212B"/>
          <w:sz w:val="21"/>
        </w:rPr>
        <w:t>DatumX defines the problem narrowly enough to be tractable and broadly enough to matter. It does not attempt to validate the geology itself. It does not pretend that on-chain logic can certify truth in the physical world. Instead, it focuses on a specific systems problem: whether a transformed dataset has a defensible provenance, a coherent lineage, an accountable review record, and a finalization state appropriate for downstream use. That is the problem that repeatedly appears in AI-assisted industrial data pipelines, and it is the one DatumX is built to solve.</w:t>
      </w:r>
    </w:p>
    <w:p>
      <w:pPr>
        <w:pStyle w:val="DatumXSectionTitle"/>
        <w:pBdr>
          <w:bottom w:val="single" w:sz="10" w:space="1" w:color="C6D1C6"/>
        </w:pBdr>
      </w:pPr>
      <w:r>
        <w:rPr>
          <w:rFonts w:ascii="Courier New" w:hAnsi="Courier New"/>
          <w:b/>
          <w:i w:val="0"/>
          <w:color w:val="1A212B"/>
          <w:sz w:val="28"/>
        </w:rPr>
        <w:t>4. DatumX Architecture Overview</w:t>
      </w:r>
    </w:p>
    <w:p>
      <w:pPr>
        <w:pStyle w:val="DatumXBody"/>
        <w:spacing w:before="0" w:after="140" w:line="283" w:lineRule="auto"/>
        <w:jc w:val="both"/>
      </w:pPr>
      <w:r>
        <w:rPr>
          <w:rFonts w:ascii="Arial" w:hAnsi="Arial"/>
          <w:b w:val="0"/>
          <w:i w:val="0"/>
          <w:color w:val="1A212B"/>
          <w:sz w:val="21"/>
        </w:rPr>
        <w:t>At a high level, DatumX is composed of five operational layers: a protocol layer, an adapter layer, a validator layer, a frontend console, and a deployment environment on XRPL EVM. Each layer exists to isolate a distinct kind of responsibility.</w:t>
      </w:r>
    </w:p>
    <w:p>
      <w:pPr>
        <w:pStyle w:val="DatumXBody"/>
        <w:spacing w:before="0" w:after="140" w:line="283" w:lineRule="auto"/>
        <w:jc w:val="both"/>
      </w:pPr>
      <w:r>
        <w:rPr>
          <w:rFonts w:ascii="Arial" w:hAnsi="Arial"/>
          <w:b w:val="0"/>
          <w:i w:val="0"/>
          <w:color w:val="1A212B"/>
          <w:sz w:val="21"/>
        </w:rPr>
        <w:t>The protocol layer is the core of the system. It defines projects, dataset registration, lineage, reviews, thresholds, and finalization. It does not try to understand every domain-specific nuance of each project’s source data. That responsibility is delegated outward.</w:t>
      </w:r>
    </w:p>
    <w:p>
      <w:pPr>
        <w:pStyle w:val="DatumXBody"/>
        <w:spacing w:before="0" w:after="140" w:line="283" w:lineRule="auto"/>
        <w:jc w:val="both"/>
      </w:pPr>
      <w:r>
        <w:rPr>
          <w:rFonts w:ascii="Arial" w:hAnsi="Arial"/>
          <w:b w:val="0"/>
          <w:i w:val="0"/>
          <w:color w:val="1A212B"/>
          <w:sz w:val="21"/>
        </w:rPr>
        <w:t>The adapter layer is the normalization boundary. Each project can have project-specific submission rules, naming conventions, record-count minimums, and payload expectations. Adapters are responsible for receiving a typed payload and returning a canonical dataset input. This keeps project-specific normalization out of the registry core and prevents the registry from becoming a collection of one-off conditionals.</w:t>
      </w:r>
    </w:p>
    <w:p>
      <w:pPr>
        <w:pStyle w:val="DatumXBody"/>
        <w:spacing w:before="0" w:after="140" w:line="283" w:lineRule="auto"/>
        <w:jc w:val="both"/>
      </w:pPr>
      <w:r>
        <w:rPr>
          <w:rFonts w:ascii="Arial" w:hAnsi="Arial"/>
          <w:b w:val="0"/>
          <w:i w:val="0"/>
          <w:color w:val="1A212B"/>
          <w:sz w:val="21"/>
        </w:rPr>
        <w:t>The validator layer is the human accountability boundary. Validators can submit reviews. They do not finalize releases. Their role is to produce explicit review judgments, including approval state and confidence. The protocol aggregates those judgments against thresholds.</w:t>
      </w:r>
    </w:p>
    <w:p>
      <w:pPr>
        <w:pStyle w:val="DatumXBody"/>
        <w:spacing w:before="0" w:after="140" w:line="283" w:lineRule="auto"/>
        <w:jc w:val="both"/>
      </w:pPr>
      <w:r>
        <w:rPr>
          <w:rFonts w:ascii="Arial" w:hAnsi="Arial"/>
          <w:b w:val="0"/>
          <w:i w:val="0"/>
          <w:color w:val="1A212B"/>
          <w:sz w:val="21"/>
        </w:rPr>
        <w:t>The frontend console is the inspection surface. The Resource Integrity Console is not merely a transaction UI. It is designed to show lineage, audit events, thresholds, validator posture, and release state in a way that makes the protocol legible to operators and reviewers.</w:t>
      </w:r>
    </w:p>
    <w:p>
      <w:pPr>
        <w:pStyle w:val="DatumXBody"/>
        <w:spacing w:before="0" w:after="140" w:line="283" w:lineRule="auto"/>
        <w:jc w:val="both"/>
      </w:pPr>
      <w:r>
        <w:rPr>
          <w:rFonts w:ascii="Arial" w:hAnsi="Arial"/>
          <w:b w:val="0"/>
          <w:i w:val="0"/>
          <w:color w:val="1A212B"/>
          <w:sz w:val="21"/>
        </w:rPr>
        <w:t>The XRPL EVM deployment environment provides an execution environment with realistic wallet flow, transaction finality, and cost characteristics without requiring Ethereum mainnet economics for an early-stage protocol.</w:t>
      </w:r>
    </w:p>
    <w:p>
      <w:pPr>
        <w:pStyle w:val="DatumXBody"/>
        <w:spacing w:before="0" w:after="140" w:line="283" w:lineRule="auto"/>
        <w:jc w:val="both"/>
      </w:pPr>
      <w:r>
        <w:rPr>
          <w:rFonts w:ascii="Arial" w:hAnsi="Arial"/>
          <w:b w:val="0"/>
          <w:i w:val="0"/>
          <w:color w:val="1A212B"/>
          <w:sz w:val="21"/>
        </w:rPr>
        <w:t>A useful conceptual diagram is to think of DatumX as a release pipeline with two kinds of boundaries. The first boundary is normalization: project-specific raw inputs must be transformed into a canonical dataset payload before they enter the core system. The second boundary is release legitimacy: once the payload enters the system, it cannot become decision-grade until the protocol’s lineage and validation rules have been satisfied.</w:t>
      </w:r>
    </w:p>
    <w:p>
      <w:pPr>
        <w:pStyle w:val="DatumXBody"/>
        <w:spacing w:before="0" w:after="140" w:line="283" w:lineRule="auto"/>
        <w:jc w:val="both"/>
      </w:pPr>
      <w:r>
        <w:rPr>
          <w:rFonts w:ascii="Arial" w:hAnsi="Arial"/>
          <w:b w:val="0"/>
          <w:i w:val="0"/>
          <w:color w:val="1A212B"/>
          <w:sz w:val="21"/>
        </w:rPr>
        <w:t>A second conceptual diagram is to think of the architecture as a three-lane corridor. The left lane is ingestion and normalization. The center lane is canonical registration and lineage. The right lane is validation and finalization. The frontend runs above those lanes, exposing state and trust signals, while the deployment environment runs below them, handling wallet and chain execution.</w:t>
      </w:r>
    </w:p>
    <w:p>
      <w:pPr>
        <w:pStyle w:val="DatumXBody"/>
        <w:spacing w:before="0" w:after="140" w:line="283" w:lineRule="auto"/>
        <w:jc w:val="both"/>
      </w:pPr>
      <w:r>
        <w:rPr>
          <w:rFonts w:ascii="Arial" w:hAnsi="Arial"/>
          <w:b w:val="0"/>
          <w:i w:val="0"/>
          <w:color w:val="1A212B"/>
          <w:sz w:val="21"/>
        </w:rPr>
        <w:t>This architectural separation is central to DatumX’s credibility. A common failure mode in protocol-adjacent applications is that everything happens everywhere: domain normalization leaks into registry logic, frontend assumptions become substitutes for protocol invariants, and validation state becomes a soft UI concept rather than a protocol boundary. DatumX avoids that by keeping responsibilities relatively clean.</w:t>
      </w:r>
    </w:p>
    <w:p>
      <w:pPr>
        <w:pStyle w:val="DatumXSectionTitle"/>
        <w:pBdr>
          <w:bottom w:val="single" w:sz="10" w:space="1" w:color="C6D1C6"/>
        </w:pBdr>
      </w:pPr>
      <w:r>
        <w:rPr>
          <w:rFonts w:ascii="Courier New" w:hAnsi="Courier New"/>
          <w:b/>
          <w:i w:val="0"/>
          <w:color w:val="1A212B"/>
          <w:sz w:val="28"/>
        </w:rPr>
        <w:t>5. Core Protocol Design</w:t>
      </w:r>
    </w:p>
    <w:p>
      <w:pPr>
        <w:pStyle w:val="DatumXBody"/>
        <w:spacing w:before="0" w:after="140" w:line="283" w:lineRule="auto"/>
        <w:jc w:val="both"/>
      </w:pPr>
      <w:r>
        <w:rPr>
          <w:rFonts w:ascii="Arial" w:hAnsi="Arial"/>
          <w:b w:val="0"/>
          <w:i w:val="0"/>
          <w:color w:val="1A212B"/>
          <w:sz w:val="21"/>
        </w:rPr>
        <w:t>The current core contracts are DatasetRegistry, DatasetGraph, ValidationModule, ProjectRegistry, and ProjectRouter, supported by DrillProofAccess, shared types, events, errors, and hashing libraries.</w:t>
      </w:r>
    </w:p>
    <w:p>
      <w:pPr>
        <w:pStyle w:val="DatumXBody"/>
        <w:spacing w:before="0" w:after="140" w:line="283" w:lineRule="auto"/>
        <w:jc w:val="both"/>
      </w:pPr>
      <w:r>
        <w:rPr>
          <w:rFonts w:ascii="Arial" w:hAnsi="Arial"/>
          <w:b w:val="0"/>
          <w:i w:val="0"/>
          <w:color w:val="1A212B"/>
          <w:sz w:val="21"/>
        </w:rPr>
        <w:t>ProjectRegistry exists to define the universe of valid projects. A project is not just a label; it carries metadata and an adapter binding. The registry enforces that a project key is real, that the project exists, and that the configured adapter declares the same expected project key. This matters because project identity is part of the trust boundary. If an adapter intended for one project could be silently bound to another, the normalization layer would lose integrity immediately.</w:t>
      </w:r>
    </w:p>
    <w:p>
      <w:pPr>
        <w:pStyle w:val="DatumXBody"/>
        <w:spacing w:before="0" w:after="140" w:line="283" w:lineRule="auto"/>
        <w:jc w:val="both"/>
      </w:pPr>
      <w:r>
        <w:rPr>
          <w:rFonts w:ascii="Arial" w:hAnsi="Arial"/>
          <w:b w:val="0"/>
          <w:i w:val="0"/>
          <w:color w:val="1A212B"/>
          <w:sz w:val="21"/>
        </w:rPr>
        <w:t>ProjectRouter exists because the protocol should have one submission entry point. Instead of letting callers write directly into the registry, the router resolves the correct adapter for a project and requests a canonical dataset input from it. Only after the adapter returns a valid normalized payload does the router forward the dataset into the registry. That separation is important for two reasons. It keeps project-specific logic out of the registry, and it allows the protocol to define a clean boundary where normalization ends and canonical registration begins.</w:t>
      </w:r>
    </w:p>
    <w:p>
      <w:pPr>
        <w:pStyle w:val="DatumXBody"/>
        <w:spacing w:before="0" w:after="140" w:line="283" w:lineRule="auto"/>
        <w:jc w:val="both"/>
      </w:pPr>
      <w:r>
        <w:rPr>
          <w:rFonts w:ascii="Arial" w:hAnsi="Arial"/>
          <w:b w:val="0"/>
          <w:i w:val="0"/>
          <w:color w:val="1A212B"/>
          <w:sz w:val="21"/>
        </w:rPr>
        <w:t>DatasetRegistry is the protocol’s release record. It stores the dataset’s canonical content hash, stage, status, parent hash, counts, submitter, timestamps, and aggregated review outcomes. It also blocks duplicate submissions by content hash, ensures the project is still active, and enforces lineage rules before a child can be recorded. The registry is not passive storage. It is the place where the protocol decides whether a proposed release even belongs in the system.</w:t>
      </w:r>
    </w:p>
    <w:p>
      <w:pPr>
        <w:pStyle w:val="DatumXBody"/>
        <w:spacing w:before="0" w:after="140" w:line="283" w:lineRule="auto"/>
        <w:jc w:val="both"/>
      </w:pPr>
      <w:r>
        <w:rPr>
          <w:rFonts w:ascii="Arial" w:hAnsi="Arial"/>
          <w:b w:val="0"/>
          <w:i w:val="0"/>
          <w:color w:val="1A212B"/>
          <w:sz w:val="21"/>
        </w:rPr>
        <w:t>DatasetGraph handles the parent-child topology. The implementation is intentionally simple: a child points to one parent, and a parent can enumerate children. On top of that, the protocol can resolve ancestry. The design choice here is not sophistication for its own sake. DatumX is explicitly choosing deterministic lineage over generalized graph flexibility. That makes reasoning about release progression easier and audit semantics stronger.</w:t>
      </w:r>
    </w:p>
    <w:p>
      <w:pPr>
        <w:pStyle w:val="DatumXBody"/>
        <w:spacing w:before="0" w:after="140" w:line="283" w:lineRule="auto"/>
        <w:jc w:val="both"/>
      </w:pPr>
      <w:r>
        <w:rPr>
          <w:rFonts w:ascii="Arial" w:hAnsi="Arial"/>
          <w:b w:val="0"/>
          <w:i w:val="0"/>
          <w:color w:val="1A212B"/>
          <w:sz w:val="21"/>
        </w:rPr>
        <w:t>ValidationModule captures review and finalization logic. Validators submit reviews against a dataset ID with an approval boolean, a confidence score, and a review URI. The module enforces one review per validator per dataset and aggregates approvals, rejections, and average confidence. Once enough reviews exist, the dataset resolves to approved or rejected. Finalization is then available only through an auditor role, and only if the dataset is approved and still satisfies the configured thresholds.</w:t>
      </w:r>
    </w:p>
    <w:p>
      <w:pPr>
        <w:pStyle w:val="DatumXBody"/>
        <w:spacing w:before="0" w:after="140" w:line="283" w:lineRule="auto"/>
        <w:jc w:val="both"/>
      </w:pPr>
      <w:r>
        <w:rPr>
          <w:rFonts w:ascii="Arial" w:hAnsi="Arial"/>
          <w:b w:val="0"/>
          <w:i w:val="0"/>
          <w:color w:val="1A212B"/>
          <w:sz w:val="21"/>
        </w:rPr>
        <w:t>The data flow through these contracts is straightforward. A submission begins at ProjectRouter.submitDataset. The router resolves the project, verifies that it is active, calls the project adapter, and receives a canonical dataset input. The registry records that release if the payload is valid, unique, and consistent with lineage. Validators then submit reviews to ValidationModule.submitReview. The validation module pushes updated aggregate state back into the registry. If the dataset reaches approved status and still satisfies thresholds, an auditor can call finalizeDataset.</w:t>
      </w:r>
    </w:p>
    <w:p>
      <w:pPr>
        <w:pStyle w:val="DatumXBody"/>
        <w:spacing w:before="0" w:after="140" w:line="283" w:lineRule="auto"/>
        <w:jc w:val="both"/>
      </w:pPr>
      <w:r>
        <w:rPr>
          <w:rFonts w:ascii="Arial" w:hAnsi="Arial"/>
          <w:b w:val="0"/>
          <w:i w:val="0"/>
          <w:color w:val="1A212B"/>
          <w:sz w:val="21"/>
        </w:rPr>
        <w:t>Each contract exists because the protocol must remain inspectable. If project routing, lineage, and review aggregation were collapsed into one contract, the code would still work, but the system would become harder to reason about. DatumX favors a modular arrangement because the system is about proving release integrity, and proof becomes weaker when responsibilities blur.</w:t>
      </w:r>
    </w:p>
    <w:p>
      <w:pPr>
        <w:pStyle w:val="DatumXSectionTitle"/>
        <w:pBdr>
          <w:bottom w:val="single" w:sz="10" w:space="1" w:color="C6D1C6"/>
        </w:pBdr>
      </w:pPr>
      <w:r>
        <w:rPr>
          <w:rFonts w:ascii="Courier New" w:hAnsi="Courier New"/>
          <w:b/>
          <w:i w:val="0"/>
          <w:color w:val="1A212B"/>
          <w:sz w:val="28"/>
        </w:rPr>
        <w:t>6. Adapter Model (Key Innovation)</w:t>
      </w:r>
    </w:p>
    <w:tbl>
      <w:tblPr>
        <w:tblW w:type="auto" w:w="0"/>
        <w:jc w:val="left"/>
        <w:tblLook w:firstColumn="1" w:firstRow="1" w:lastColumn="0" w:lastRow="0" w:noHBand="0" w:noVBand="1" w:val="04A0"/>
      </w:tblPr>
      <w:tblGrid>
        <w:gridCol w:w="9360"/>
      </w:tblGrid>
      <w:tr>
        <w:tc>
          <w:tcPr>
            <w:tcW w:type="dxa" w:w="9360"/>
            <w:shd w:fill="EEF4EE"/>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78A37B"/>
                <w:sz w:val="17"/>
              </w:rPr>
              <w:t>TYPED BOUNDARY</w:t>
            </w:r>
          </w:p>
          <w:p>
            <w:pPr>
              <w:pStyle w:val="DatumXCallout"/>
              <w:spacing w:before="20" w:after="80" w:line="274" w:lineRule="auto"/>
            </w:pPr>
            <w:r>
              <w:rPr>
                <w:rFonts w:ascii="Arial" w:hAnsi="Arial"/>
                <w:b w:val="0"/>
                <w:i/>
                <w:color w:val="1A212B"/>
                <w:sz w:val="21"/>
              </w:rPr>
              <w:t>The adapter boundary is where local project mess becomes canonical protocol input. V5 made that boundary explicit with AdapterPayload.</w:t>
            </w:r>
          </w:p>
        </w:tc>
      </w:tr>
    </w:tbl>
    <w:p>
      <w:pPr>
        <w:pStyle w:val="DatumXBody"/>
        <w:spacing w:before="0" w:after="140" w:line="283" w:lineRule="auto"/>
        <w:jc w:val="both"/>
      </w:pPr>
      <w:r>
        <w:rPr>
          <w:rFonts w:ascii="Arial" w:hAnsi="Arial"/>
          <w:b w:val="0"/>
          <w:i w:val="0"/>
          <w:color w:val="1A212B"/>
          <w:sz w:val="21"/>
        </w:rPr>
        <w:t>The adapter model is the most important design decision in DatumX besides the validation boundary itself.</w:t>
      </w:r>
    </w:p>
    <w:p>
      <w:pPr>
        <w:pStyle w:val="DatumXBody"/>
        <w:spacing w:before="0" w:after="140" w:line="283" w:lineRule="auto"/>
        <w:jc w:val="both"/>
      </w:pPr>
      <w:r>
        <w:rPr>
          <w:rFonts w:ascii="Arial" w:hAnsi="Arial"/>
          <w:b w:val="0"/>
          <w:i w:val="0"/>
          <w:color w:val="1A212B"/>
          <w:sz w:val="21"/>
        </w:rPr>
        <w:t>Industrial projects are not homogeneous. Even when the protocol’s release semantics are shared, the shape of upstream submissions is project-specific. Submission identifiers may use different prefixes. Minimum record-count expectations may differ. Certain projects may carry distinct assumptions about what constitutes a valid transformed package. If the protocol core attempted to absorb all of those differences directly, it would either become brittle or devolve into a large conditional dispatch system.</w:t>
      </w:r>
    </w:p>
    <w:p>
      <w:pPr>
        <w:pStyle w:val="DatumXBody"/>
        <w:spacing w:before="0" w:after="140" w:line="283" w:lineRule="auto"/>
        <w:jc w:val="both"/>
      </w:pPr>
      <w:r>
        <w:rPr>
          <w:rFonts w:ascii="Arial" w:hAnsi="Arial"/>
          <w:b w:val="0"/>
          <w:i w:val="0"/>
          <w:color w:val="1A212B"/>
          <w:sz w:val="21"/>
        </w:rPr>
        <w:t>DatumX solves that by making adapters explicit first-class components. Every project points to a specific adapter. Each adapter receives the same typed AdapterPayload, plus the project key, URI, parent hash, and submitter context. The adapter validates project-specific constraints and returns a CanonicalDatasetInput.</w:t>
      </w:r>
    </w:p>
    <w:p>
      <w:pPr>
        <w:pStyle w:val="DatumXBody"/>
        <w:spacing w:before="0" w:after="140" w:line="283" w:lineRule="auto"/>
        <w:jc w:val="both"/>
      </w:pPr>
      <w:r>
        <w:rPr>
          <w:rFonts w:ascii="Arial" w:hAnsi="Arial"/>
          <w:b w:val="0"/>
          <w:i w:val="0"/>
          <w:color w:val="1A212B"/>
          <w:sz w:val="21"/>
        </w:rPr>
        <w:t>This is more important than it initially appears. A typed payload gives the system a stable contract between ingestion and registration. The payload already contains the fields that matter for trust: dataset type, schema version, record count, claimed confidence, source hash, transform hash, and submission ID. The adapter’s job is not to invent meaning from arbitrary calldata. Its job is to validate a project-specific typed submission and normalize it into canonical form.</w:t>
      </w:r>
    </w:p>
    <w:p>
      <w:pPr>
        <w:pStyle w:val="DatumXBody"/>
        <w:spacing w:before="0" w:after="140" w:line="283" w:lineRule="auto"/>
        <w:jc w:val="both"/>
      </w:pPr>
      <w:r>
        <w:rPr>
          <w:rFonts w:ascii="Arial" w:hAnsi="Arial"/>
          <w:b w:val="0"/>
          <w:i w:val="0"/>
          <w:color w:val="1A212B"/>
          <w:sz w:val="21"/>
        </w:rPr>
        <w:t>The included adapters for Duck Creek, Shirley Central, and Shirley East demonstrate that pattern. They inherit from a base adapter that enforces generic rules: project key consistency, non-empty URI, nonzero schema version, valid confidence bounds, a minimum record count, valid stage enum bounds, and a submission prefix. The concrete adapter then adds project-specific validation by overriding _validateProjectSpecific.</w:t>
      </w:r>
    </w:p>
    <w:p>
      <w:pPr>
        <w:pStyle w:val="DatumXBody"/>
        <w:spacing w:before="0" w:after="140" w:line="283" w:lineRule="auto"/>
        <w:jc w:val="both"/>
      </w:pPr>
      <w:r>
        <w:rPr>
          <w:rFonts w:ascii="Arial" w:hAnsi="Arial"/>
          <w:b w:val="0"/>
          <w:i w:val="0"/>
          <w:color w:val="1A212B"/>
          <w:sz w:val="21"/>
        </w:rPr>
        <w:t>The benefit of this model is separation of concerns. The core protocol can remain strict and reusable, while domain-specific conditions stay local to the project boundary. That makes expansion more realistic. A future adapter for another uranium program or another industrial domain would not require rewriting registry or validation logic. It would need only to prove that it can transform its local conventions into DatumX’s canonical release model.</w:t>
      </w:r>
    </w:p>
    <w:p>
      <w:pPr>
        <w:pStyle w:val="DatumXBody"/>
        <w:spacing w:before="0" w:after="140" w:line="283" w:lineRule="auto"/>
        <w:jc w:val="both"/>
      </w:pPr>
      <w:r>
        <w:rPr>
          <w:rFonts w:ascii="Arial" w:hAnsi="Arial"/>
          <w:b w:val="0"/>
          <w:i w:val="0"/>
          <w:color w:val="1A212B"/>
          <w:sz w:val="21"/>
        </w:rPr>
        <w:t>This is also where the V4 to V5 correction becomes meaningful. Archived pre-V5 verification artifacts show a looser protocol state in which lineage progression and release semantics were materially less strict. V5’s typed AdapterPayload boundary and stricter canonical rules reinforce that normalization is a protocol concern, not a UI convention. The point is not merely that the payload is typed. The point is that typed project submissions create a cleaner, inspectable contract between upstream transformation and downstream governance.</w:t>
      </w:r>
    </w:p>
    <w:p>
      <w:pPr>
        <w:pStyle w:val="DatumXBody"/>
        <w:spacing w:before="0" w:after="140" w:line="283" w:lineRule="auto"/>
        <w:jc w:val="both"/>
      </w:pPr>
      <w:r>
        <w:rPr>
          <w:rFonts w:ascii="Arial" w:hAnsi="Arial"/>
          <w:b w:val="0"/>
          <w:i w:val="0"/>
          <w:color w:val="1A212B"/>
          <w:sz w:val="21"/>
        </w:rPr>
        <w:t>In practical terms, the adapter model allows DatumX to say: every project can preserve its own normalization logic, but no project gets its own release semantics. That is exactly the separation needed in industrial settings where data sources vary, but release integrity requirements should not.</w:t>
      </w:r>
    </w:p>
    <w:p>
      <w:pPr>
        <w:pStyle w:val="DatumXBody"/>
        <w:spacing w:before="0" w:after="140" w:line="283" w:lineRule="auto"/>
        <w:jc w:val="both"/>
      </w:pPr>
      <w:r>
        <w:rPr>
          <w:rFonts w:ascii="Arial" w:hAnsi="Arial"/>
          <w:b w:val="0"/>
          <w:i w:val="0"/>
          <w:color w:val="1A212B"/>
          <w:sz w:val="21"/>
        </w:rPr>
        <w:t>The archived V4/V4.5 verification snapshot is useful because it shows the shape of the earlier compromise. In that earlier verified snapshot, lineage acceptance was looser: a child could proceed from a parent that was merely approved, lineage did not enforce a no-branch rule, and stage progression relied on a broader monotonic rule rather than exact next-stage advancement. In other words, the old system could still register releases, but it was more permissive about how those releases advanced. That permissiveness is exactly the kind of subtle architectural looseness that becomes dangerous in production, because it allows ambiguity to survive behind otherwise clean interfaces.</w:t>
      </w:r>
    </w:p>
    <w:p>
      <w:pPr>
        <w:pStyle w:val="DatumXBody"/>
        <w:spacing w:before="0" w:after="140" w:line="283" w:lineRule="auto"/>
        <w:jc w:val="both"/>
      </w:pPr>
      <w:r>
        <w:rPr>
          <w:rFonts w:ascii="Arial" w:hAnsi="Arial"/>
          <w:b w:val="0"/>
          <w:i w:val="0"/>
          <w:color w:val="1A212B"/>
          <w:sz w:val="21"/>
        </w:rPr>
        <w:t>V5 corrects that by tightening the release boundary. The typed AdapterPayload gives the protocol a clear, stable submission contract. The canonical dataset input generated by the adapter becomes the only acceptable substrate for dataset registration. The registry then enforces finalized-parent, same-project, single-child, and exact-next-stage rules. This is not a cosmetic cleanup. It changes the meaning of lineage from “a recorded relation” to “a deterministic release progression.” That is a substantial shift in protocol posture, and it is one of the reasons V5 is worth describing as a real improvement rather than a mere redeployment.</w:t>
      </w:r>
    </w:p>
    <w:p>
      <w:pPr>
        <w:pStyle w:val="DatumXSectionTitle"/>
        <w:pBdr>
          <w:bottom w:val="single" w:sz="10" w:space="1" w:color="C6D1C6"/>
        </w:pBdr>
      </w:pPr>
      <w:r>
        <w:rPr>
          <w:rFonts w:ascii="Courier New" w:hAnsi="Courier New"/>
          <w:b/>
          <w:i w:val="0"/>
          <w:color w:val="1A212B"/>
          <w:sz w:val="28"/>
        </w:rPr>
        <w:t>7. Dataset Lifecycle Model</w:t>
      </w:r>
    </w:p>
    <w:p>
      <w:pPr>
        <w:pStyle w:val="DatumXBody"/>
        <w:spacing w:before="0" w:after="140" w:line="283" w:lineRule="auto"/>
        <w:jc w:val="both"/>
      </w:pPr>
      <w:r>
        <w:rPr>
          <w:rFonts w:ascii="Arial" w:hAnsi="Arial"/>
          <w:b w:val="0"/>
          <w:i w:val="0"/>
          <w:color w:val="1A212B"/>
          <w:sz w:val="21"/>
        </w:rPr>
        <w:t>DatumX’s lifecycle is intentionally explicit. A dataset begins as a submission, enters review, may become approved or rejected, may be finalized, and may later serve as the parent for the next stage. The protocol does not attempt to model every possible operational nuance, but it models the release states that matter.</w:t>
      </w:r>
    </w:p>
    <w:p>
      <w:pPr>
        <w:pStyle w:val="DatumXBody"/>
        <w:spacing w:before="0" w:after="140" w:line="283" w:lineRule="auto"/>
        <w:jc w:val="both"/>
      </w:pPr>
      <w:r>
        <w:rPr>
          <w:rFonts w:ascii="Arial" w:hAnsi="Arial"/>
          <w:b w:val="0"/>
          <w:i w:val="0"/>
          <w:color w:val="1A212B"/>
          <w:sz w:val="21"/>
        </w:rPr>
        <w:t>The current on-chain states are PENDING, UNDER_REVIEW, APPROVED, REJECTED, and FINALIZED.</w:t>
      </w:r>
    </w:p>
    <w:p>
      <w:pPr>
        <w:pStyle w:val="DatumXBody"/>
        <w:spacing w:before="0" w:after="140" w:line="283" w:lineRule="auto"/>
        <w:jc w:val="both"/>
      </w:pPr>
      <w:r>
        <w:rPr>
          <w:rFonts w:ascii="Arial" w:hAnsi="Arial"/>
          <w:b w:val="0"/>
          <w:i w:val="0"/>
          <w:color w:val="1A212B"/>
          <w:sz w:val="21"/>
        </w:rPr>
        <w:t>Submission starts with a canonical payload entering the registry. At this point the dataset is PENDING. It exists, it is hashed, it is anchored, and it has a defined project and stage. It is not yet decision-grade.</w:t>
      </w:r>
    </w:p>
    <w:p>
      <w:pPr>
        <w:pStyle w:val="DatumXBody"/>
        <w:spacing w:before="0" w:after="140" w:line="283" w:lineRule="auto"/>
        <w:jc w:val="both"/>
      </w:pPr>
      <w:r>
        <w:rPr>
          <w:rFonts w:ascii="Arial" w:hAnsi="Arial"/>
          <w:b w:val="0"/>
          <w:i w:val="0"/>
          <w:color w:val="1A212B"/>
          <w:sz w:val="21"/>
        </w:rPr>
        <w:t>Once a validator submits the first review, the dataset moves to UNDER_REVIEW. At this point the protocol has evidence that review is live, but not enough aggregate judgment to resolve the release.</w:t>
      </w:r>
    </w:p>
    <w:p>
      <w:pPr>
        <w:pStyle w:val="DatumXBody"/>
        <w:spacing w:before="0" w:after="140" w:line="283" w:lineRule="auto"/>
        <w:jc w:val="both"/>
      </w:pPr>
      <w:r>
        <w:rPr>
          <w:rFonts w:ascii="Arial" w:hAnsi="Arial"/>
          <w:b w:val="0"/>
          <w:i w:val="0"/>
          <w:color w:val="1A212B"/>
          <w:sz w:val="21"/>
        </w:rPr>
        <w:t>When the number of reviews reaches the configured minimum validator count, the validation module evaluates approval ratio and aggregate confidence. If the release meets both thresholds, it becomes APPROVED. If not, it becomes REJECTED.</w:t>
      </w:r>
    </w:p>
    <w:p>
      <w:pPr>
        <w:pStyle w:val="DatumXBody"/>
        <w:spacing w:before="0" w:after="140" w:line="283" w:lineRule="auto"/>
        <w:jc w:val="both"/>
      </w:pPr>
      <w:r>
        <w:rPr>
          <w:rFonts w:ascii="Arial" w:hAnsi="Arial"/>
          <w:b w:val="0"/>
          <w:i w:val="0"/>
          <w:color w:val="1A212B"/>
          <w:sz w:val="21"/>
        </w:rPr>
        <w:t>APPROVED still does not mean the release is closed. That is intentional. DatumX separates approval from finalization to preserve operational discipline. A release can satisfy validator thresholds and still require auditor action to close the release.</w:t>
      </w:r>
    </w:p>
    <w:p>
      <w:pPr>
        <w:pStyle w:val="DatumXBody"/>
        <w:spacing w:before="0" w:after="140" w:line="283" w:lineRule="auto"/>
        <w:jc w:val="both"/>
      </w:pPr>
      <w:r>
        <w:rPr>
          <w:rFonts w:ascii="Arial" w:hAnsi="Arial"/>
          <w:b w:val="0"/>
          <w:i w:val="0"/>
          <w:color w:val="1A212B"/>
          <w:sz w:val="21"/>
        </w:rPr>
        <w:t>FINALIZED is the state that allows deterministic progression. A child release may reference a parent only if the parent has already been finalized. This is one of the key discipline mechanisms in the system. It prevents downstream lineage from advancing on merely provisional approval.</w:t>
      </w:r>
    </w:p>
    <w:p>
      <w:pPr>
        <w:pStyle w:val="DatumXBody"/>
        <w:spacing w:before="0" w:after="140" w:line="283" w:lineRule="auto"/>
        <w:jc w:val="both"/>
      </w:pPr>
      <w:r>
        <w:rPr>
          <w:rFonts w:ascii="Arial" w:hAnsi="Arial"/>
          <w:b w:val="0"/>
          <w:i w:val="0"/>
          <w:color w:val="1A212B"/>
          <w:sz w:val="21"/>
        </w:rPr>
        <w:t>Supersession is not modeled as a free-form replacement process inside the core contracts. Instead, progression is expressed through deterministic parent-child linkage. A new release is not “version 2 of the same thing” in a loose sense. It is the next defined stage derived from a finalized parent, and that progression becomes part of the lineage.</w:t>
      </w:r>
    </w:p>
    <w:p>
      <w:pPr>
        <w:pStyle w:val="DatumXBody"/>
        <w:spacing w:before="0" w:after="140" w:line="283" w:lineRule="auto"/>
        <w:jc w:val="both"/>
      </w:pPr>
      <w:r>
        <w:rPr>
          <w:rFonts w:ascii="Arial" w:hAnsi="Arial"/>
          <w:b w:val="0"/>
          <w:i w:val="0"/>
          <w:color w:val="1A212B"/>
          <w:sz w:val="21"/>
        </w:rPr>
        <w:t>Failure modes are equally important. A submission can fail because the project is inactive, the adapter is not configured, the payload is malformed, the content hash already exists, the parent does not exist, the parent belongs to another project, the parent is not finalized, the stage progression skips forward, or the lineage attempts to branch. A review can fail because the reviewer is not a validator, the review URI is empty, confidence is out of bounds, the dataset is already closed, or the validator has already reviewed that dataset. Finalization can fail because the caller is not an auditor or because the dataset is not actually finalization-eligible.</w:t>
      </w:r>
    </w:p>
    <w:p>
      <w:pPr>
        <w:pStyle w:val="DatumXBody"/>
        <w:spacing w:before="0" w:after="140" w:line="283" w:lineRule="auto"/>
        <w:jc w:val="both"/>
      </w:pPr>
      <w:r>
        <w:rPr>
          <w:rFonts w:ascii="Arial" w:hAnsi="Arial"/>
          <w:b w:val="0"/>
          <w:i w:val="0"/>
          <w:color w:val="1A212B"/>
          <w:sz w:val="21"/>
        </w:rPr>
        <w:t>This explicit lifecycle is not protocol ornamentation. It is the core of DatumX’s claim to seriousness. If transformed releases are going to influence operational decisions, then state transitions must be explicit enough that a technical reviewer can tell whether a release is merely present, currently contested, approved but not closed, or finalized for downstream use.</w:t>
      </w:r>
    </w:p>
    <w:p>
      <w:pPr>
        <w:pStyle w:val="DatumXSectionTitle"/>
        <w:pBdr>
          <w:bottom w:val="single" w:sz="10" w:space="1" w:color="C6D1C6"/>
        </w:pBdr>
      </w:pPr>
      <w:r>
        <w:rPr>
          <w:rFonts w:ascii="Courier New" w:hAnsi="Courier New"/>
          <w:b/>
          <w:i w:val="0"/>
          <w:color w:val="1A212B"/>
          <w:sz w:val="28"/>
        </w:rPr>
        <w:t>8. Validation + Consensus System</w:t>
      </w:r>
    </w:p>
    <w:tbl>
      <w:tblPr>
        <w:tblW w:type="auto" w:w="0"/>
        <w:jc w:val="left"/>
        <w:tblLook w:firstColumn="1" w:firstRow="1" w:lastColumn="0" w:lastRow="0" w:noHBand="0" w:noVBand="1" w:val="04A0"/>
      </w:tblPr>
      <w:tblGrid>
        <w:gridCol w:w="9360"/>
      </w:tblGrid>
      <w:tr>
        <w:tc>
          <w:tcPr>
            <w:tcW w:type="dxa" w:w="9360"/>
            <w:shd w:fill="EEF4EE"/>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78A37B"/>
                <w:sz w:val="17"/>
              </w:rPr>
              <w:t>ROLE SEPARATION</w:t>
            </w:r>
          </w:p>
          <w:p>
            <w:pPr>
              <w:pStyle w:val="DatumXCallout"/>
              <w:spacing w:before="20" w:after="80" w:line="274" w:lineRule="auto"/>
            </w:pPr>
            <w:r>
              <w:rPr>
                <w:rFonts w:ascii="Arial" w:hAnsi="Arial"/>
                <w:b w:val="0"/>
                <w:i/>
                <w:color w:val="1A212B"/>
                <w:sz w:val="21"/>
              </w:rPr>
              <w:t>Validator-only reviews and auditor-only finalization are distinct on purpose. Consensus and closure are not the same action.</w:t>
            </w:r>
          </w:p>
        </w:tc>
      </w:tr>
    </w:tbl>
    <w:p>
      <w:pPr>
        <w:pStyle w:val="DatumXBody"/>
        <w:spacing w:before="0" w:after="140" w:line="283" w:lineRule="auto"/>
        <w:jc w:val="both"/>
      </w:pPr>
      <w:r>
        <w:rPr>
          <w:rFonts w:ascii="Arial" w:hAnsi="Arial"/>
          <w:b w:val="0"/>
          <w:i w:val="0"/>
          <w:color w:val="1A212B"/>
          <w:sz w:val="21"/>
        </w:rPr>
        <w:t>DatumX’s validation system is built around role separation and threshold aggregation rather than maximal decentralization theater. Validators are explicitly permissioned. They submit structured review judgments. The protocol aggregates those judgments using configurable thresholds. Auditors finalize approved releases.</w:t>
      </w:r>
    </w:p>
    <w:p>
      <w:pPr>
        <w:pStyle w:val="DatumXBody"/>
        <w:spacing w:before="0" w:after="140" w:line="283" w:lineRule="auto"/>
        <w:jc w:val="both"/>
      </w:pPr>
      <w:r>
        <w:rPr>
          <w:rFonts w:ascii="Arial" w:hAnsi="Arial"/>
          <w:b w:val="0"/>
          <w:i w:val="0"/>
          <w:color w:val="1A212B"/>
          <w:sz w:val="21"/>
        </w:rPr>
        <w:t>The validator role exists because the system is optimizing for accountable technical review, not anonymous voting. In exploration workflows, reviewers are typically known entities: technical staff, QA operators, domain specialists, or designated external reviewers. The value of their role comes from explicit participation and auditable judgment, not from pretending that validator identity is irrelevant.</w:t>
      </w:r>
    </w:p>
    <w:p>
      <w:pPr>
        <w:pStyle w:val="DatumXBody"/>
        <w:spacing w:before="0" w:after="140" w:line="283" w:lineRule="auto"/>
        <w:jc w:val="both"/>
      </w:pPr>
      <w:r>
        <w:rPr>
          <w:rFonts w:ascii="Arial" w:hAnsi="Arial"/>
          <w:b w:val="0"/>
          <w:i w:val="0"/>
          <w:color w:val="1A212B"/>
          <w:sz w:val="21"/>
        </w:rPr>
        <w:t>Each review contains four meaningful components: dataset target, approval or rejection, confidence score, and a review URI. The confidence score matters because an approval without confidence discipline is only partially informative. A reviewer can agree with a release in principle while signaling lower certainty in its readiness. Aggregating that signal matters in settings where operational decisions should reflect not just majority direction but also the quality of conviction behind the release.</w:t>
      </w:r>
    </w:p>
    <w:p>
      <w:pPr>
        <w:pStyle w:val="DatumXBody"/>
        <w:spacing w:before="0" w:after="140" w:line="283" w:lineRule="auto"/>
        <w:jc w:val="both"/>
      </w:pPr>
      <w:r>
        <w:rPr>
          <w:rFonts w:ascii="Arial" w:hAnsi="Arial"/>
          <w:b w:val="0"/>
          <w:i w:val="0"/>
          <w:color w:val="1A212B"/>
          <w:sz w:val="21"/>
        </w:rPr>
        <w:t>The protocol’s aggregation logic is intentionally simple. Once enough reviews exist, it computes approval ratio and average confidence. If approval ratio and aggregate confidence both exceed thresholds, the release becomes approved. Otherwise it becomes rejected. The system is not trying to encode the entire social process of technical review. It is encoding the minimum logic required for a release decision to be explicit and inspectable.</w:t>
      </w:r>
    </w:p>
    <w:p>
      <w:pPr>
        <w:pStyle w:val="DatumXBody"/>
        <w:spacing w:before="0" w:after="140" w:line="283" w:lineRule="auto"/>
        <w:jc w:val="both"/>
      </w:pPr>
      <w:r>
        <w:rPr>
          <w:rFonts w:ascii="Arial" w:hAnsi="Arial"/>
          <w:b w:val="0"/>
          <w:i w:val="0"/>
          <w:color w:val="1A212B"/>
          <w:sz w:val="21"/>
        </w:rPr>
        <w:t>The tradeoff is clear. A more decentralized system might allow open participation, but would weaken accountability and complicate trust assumptions. A more centralized system might be faster, but would collapse review legitimacy into administrative fiat. DatumX chooses a middle path appropriate for its domain: permissioned validators, explicit review records, configurable thresholds, and an auditor-only finalization gate.</w:t>
      </w:r>
    </w:p>
    <w:p>
      <w:pPr>
        <w:pStyle w:val="DatumXBody"/>
        <w:spacing w:before="0" w:after="140" w:line="283" w:lineRule="auto"/>
        <w:jc w:val="both"/>
      </w:pPr>
      <w:r>
        <w:rPr>
          <w:rFonts w:ascii="Arial" w:hAnsi="Arial"/>
          <w:b w:val="0"/>
          <w:i w:val="0"/>
          <w:color w:val="1A212B"/>
          <w:sz w:val="21"/>
        </w:rPr>
        <w:t>Speed versus accuracy is another deliberate tradeoff. Higher validator thresholds slow release closure but improve confidence in the result. Lower thresholds increase throughput but reduce review redundancy. The protocol exposes threshold configuration to the admin role because this tradeoff may vary by environment. The XRPL fast-path smoke exercise demonstrates that the thresholds can be temporarily lowered for testnet verification, but the canonical restored threshold state remains 3 / 6667 / 7000, which reflects the intended live posture rather than the temporary test posture.</w:t>
      </w:r>
    </w:p>
    <w:p>
      <w:pPr>
        <w:pStyle w:val="DatumXBody"/>
        <w:spacing w:before="0" w:after="140" w:line="283" w:lineRule="auto"/>
        <w:jc w:val="both"/>
      </w:pPr>
      <w:r>
        <w:rPr>
          <w:rFonts w:ascii="Arial" w:hAnsi="Arial"/>
          <w:b w:val="0"/>
          <w:i w:val="0"/>
          <w:color w:val="1A212B"/>
          <w:sz w:val="21"/>
        </w:rPr>
        <w:t>The important point is that DatumX treats validation as a structured release discipline. Reviews are not comments. They are protocol actions. Confidence is not decorative metadata. It contributes to eligibility. Finalization is not automatic after majority approval. It is a separate closure step. Together these choices produce a validation system that is modest in mechanism but strong in interpretability.</w:t>
      </w:r>
    </w:p>
    <w:p>
      <w:pPr>
        <w:pStyle w:val="DatumXBody"/>
        <w:spacing w:before="0" w:after="140" w:line="283" w:lineRule="auto"/>
        <w:jc w:val="both"/>
      </w:pPr>
      <w:r>
        <w:rPr>
          <w:rFonts w:ascii="Arial" w:hAnsi="Arial"/>
          <w:b w:val="0"/>
          <w:i w:val="0"/>
          <w:color w:val="1A212B"/>
          <w:sz w:val="21"/>
        </w:rPr>
        <w:t>This also clarifies role separation in operational terms. Validators are allowed to influence outcome but not to close releases. Auditors are allowed to close releases but only after validator judgment has already satisfied protocol thresholds. Administrators can alter thresholds and registry bindings, but they do not get to bypass the release-state machine. That separation is valuable because it removes a common ambiguity in industrial systems: whether the same actor who configures policy can also unilaterally mint legitimacy. DatumX’s answer is no. Policy can be configured centrally, but release legitimacy still has to pass through review and auditor closure.</w:t>
      </w:r>
    </w:p>
    <w:p>
      <w:pPr>
        <w:pStyle w:val="DatumXSectionTitle"/>
        <w:pBdr>
          <w:bottom w:val="single" w:sz="10" w:space="1" w:color="C6D1C6"/>
        </w:pBdr>
      </w:pPr>
      <w:r>
        <w:rPr>
          <w:rFonts w:ascii="Courier New" w:hAnsi="Courier New"/>
          <w:b/>
          <w:i w:val="0"/>
          <w:color w:val="1A212B"/>
          <w:sz w:val="28"/>
        </w:rPr>
        <w:t>9. Security + Integrity Model</w:t>
      </w:r>
    </w:p>
    <w:p>
      <w:pPr>
        <w:pStyle w:val="DatumXBody"/>
        <w:spacing w:before="0" w:after="140" w:line="283" w:lineRule="auto"/>
        <w:jc w:val="both"/>
      </w:pPr>
      <w:r>
        <w:rPr>
          <w:rFonts w:ascii="Arial" w:hAnsi="Arial"/>
          <w:b w:val="0"/>
          <w:i w:val="0"/>
          <w:color w:val="1A212B"/>
          <w:sz w:val="21"/>
        </w:rPr>
        <w:t>DatumX is not a trustless oracle for industrial truth. Its security model is about protecting release integrity inside a defined operational system. That means the relevant attack surfaces are the points where release semantics could be spoofed, bypassed, or confused.</w:t>
      </w:r>
    </w:p>
    <w:p>
      <w:pPr>
        <w:pStyle w:val="DatumXBody"/>
        <w:spacing w:before="0" w:after="140" w:line="283" w:lineRule="auto"/>
        <w:jc w:val="both"/>
      </w:pPr>
      <w:r>
        <w:rPr>
          <w:rFonts w:ascii="Arial" w:hAnsi="Arial"/>
          <w:b w:val="0"/>
          <w:i w:val="0"/>
          <w:color w:val="1A212B"/>
          <w:sz w:val="21"/>
        </w:rPr>
        <w:t>One obvious risk is dataset spoofing. If a malicious actor could inject arbitrary canonical datasets into the registry, then the protocol would lose meaning immediately. DatumX mitigates that by restricting canonical submissions to the configured router and by validating canonical fields in the registry itself. The registry does not trust the caller blindly, even when the caller is the router. It rejects malformed canonical data, empty hashes, empty URIs, zero schema versions, and invalid confidence ranges.</w:t>
      </w:r>
    </w:p>
    <w:p>
      <w:pPr>
        <w:pStyle w:val="DatumXBody"/>
        <w:spacing w:before="0" w:after="140" w:line="283" w:lineRule="auto"/>
        <w:jc w:val="both"/>
      </w:pPr>
      <w:r>
        <w:rPr>
          <w:rFonts w:ascii="Arial" w:hAnsi="Arial"/>
          <w:b w:val="0"/>
          <w:i w:val="0"/>
          <w:color w:val="1A212B"/>
          <w:sz w:val="21"/>
        </w:rPr>
        <w:t>Another risk is duplicate submission. If the same transformed release could be registered repeatedly under different identities, the system would fragment trust. DatumX blocks this at the content-hash level. The canonical content hash is the release identity. Once it has been registered, it cannot be registered again.</w:t>
      </w:r>
    </w:p>
    <w:p>
      <w:pPr>
        <w:pStyle w:val="DatumXBody"/>
        <w:spacing w:before="0" w:after="140" w:line="283" w:lineRule="auto"/>
        <w:jc w:val="both"/>
      </w:pPr>
      <w:r>
        <w:rPr>
          <w:rFonts w:ascii="Arial" w:hAnsi="Arial"/>
          <w:b w:val="0"/>
          <w:i w:val="0"/>
          <w:color w:val="1A212B"/>
          <w:sz w:val="21"/>
        </w:rPr>
        <w:t>Lineage corruption is a third major risk. If children could attach to unfinalized parents, skip stages, branch from the same parent, or cross project boundaries, then lineage would become ambiguous and the protocol would be reduced to a hash log with weak semantics. DatumX mitigates this with strict lineage rules: parent must exist, must belong to the same project, must be finalized, must not already have a child, and the child stage must be exactly the next stage.</w:t>
      </w:r>
    </w:p>
    <w:p>
      <w:pPr>
        <w:pStyle w:val="DatumXBody"/>
        <w:spacing w:before="0" w:after="140" w:line="283" w:lineRule="auto"/>
        <w:jc w:val="both"/>
      </w:pPr>
      <w:r>
        <w:rPr>
          <w:rFonts w:ascii="Arial" w:hAnsi="Arial"/>
          <w:b w:val="0"/>
          <w:i w:val="0"/>
          <w:color w:val="1A212B"/>
          <w:sz w:val="21"/>
        </w:rPr>
        <w:t>Malicious or careless validators are another obvious concern. A validator could attempt to review the same dataset multiple times or manipulate consensus by repeated submission. The protocol blocks one-validator-one-review at the contract layer. A validator could still behave poorly through low-quality judgment, but the system at least makes those actions explicit and durable.</w:t>
      </w:r>
    </w:p>
    <w:p>
      <w:pPr>
        <w:pStyle w:val="DatumXBody"/>
        <w:spacing w:before="0" w:after="140" w:line="283" w:lineRule="auto"/>
        <w:jc w:val="both"/>
      </w:pPr>
      <w:r>
        <w:rPr>
          <w:rFonts w:ascii="Arial" w:hAnsi="Arial"/>
          <w:b w:val="0"/>
          <w:i w:val="0"/>
          <w:color w:val="1A212B"/>
          <w:sz w:val="21"/>
        </w:rPr>
        <w:t>Adapter bypass is a subtler risk. If project-specific normalization could be bypassed, then the core contracts would lose much of their trust value. DatumX mitigates this structurally by binding projects to adapters, routing all submissions through the router, and validating that the adapter’s declared project key matches the registry binding. V5’s typed payload boundary reinforces this because normalization is no longer a loose, ad hoc call convention.</w:t>
      </w:r>
    </w:p>
    <w:p>
      <w:pPr>
        <w:pStyle w:val="DatumXBody"/>
        <w:spacing w:before="0" w:after="140" w:line="283" w:lineRule="auto"/>
        <w:jc w:val="both"/>
      </w:pPr>
      <w:r>
        <w:rPr>
          <w:rFonts w:ascii="Arial" w:hAnsi="Arial"/>
          <w:b w:val="0"/>
          <w:i w:val="0"/>
          <w:color w:val="1A212B"/>
          <w:sz w:val="21"/>
        </w:rPr>
        <w:t>There are still off-chain trust assumptions. DatumX does not prove that the sourceHash corresponds to authentic field records in any absolute sense. It proves that the release package entering the protocol had a defined shape, lineage, and review outcome. That is the right security boundary for this system. Attempting to prove more on-chain would create false precision and unnecessary complexity.</w:t>
      </w:r>
    </w:p>
    <w:p>
      <w:pPr>
        <w:pStyle w:val="DatumXBody"/>
        <w:spacing w:before="0" w:after="140" w:line="283" w:lineRule="auto"/>
        <w:jc w:val="both"/>
      </w:pPr>
      <w:r>
        <w:rPr>
          <w:rFonts w:ascii="Arial" w:hAnsi="Arial"/>
          <w:b w:val="0"/>
          <w:i w:val="0"/>
          <w:color w:val="1A212B"/>
          <w:sz w:val="21"/>
        </w:rPr>
        <w:t>The protocol’s integrity model is therefore best described as layered. It does not replace domain trust. It constrains release trust. That is an important distinction, and it keeps the security claims defensible.</w:t>
      </w:r>
    </w:p>
    <w:p>
      <w:pPr>
        <w:pStyle w:val="DatumXSectionTitle"/>
        <w:pBdr>
          <w:bottom w:val="single" w:sz="10" w:space="1" w:color="C6D1C6"/>
        </w:pBdr>
      </w:pPr>
      <w:r>
        <w:rPr>
          <w:rFonts w:ascii="Courier New" w:hAnsi="Courier New"/>
          <w:b/>
          <w:i w:val="0"/>
          <w:color w:val="1A212B"/>
          <w:sz w:val="28"/>
        </w:rPr>
        <w:t>10. Frontend System (Resource Integrity Console)</w:t>
      </w:r>
    </w:p>
    <w:p>
      <w:pPr>
        <w:pStyle w:val="DatumXBody"/>
        <w:spacing w:before="0" w:after="140" w:line="283" w:lineRule="auto"/>
        <w:jc w:val="both"/>
      </w:pPr>
      <w:r>
        <w:rPr>
          <w:rFonts w:ascii="Arial" w:hAnsi="Arial"/>
          <w:b w:val="0"/>
          <w:i w:val="0"/>
          <w:color w:val="1A212B"/>
          <w:sz w:val="21"/>
        </w:rPr>
        <w:t>The Resource Integrity Console is a protocol inspection surface, not a marketing shell around contracts. Its job is to make the release system legible.</w:t>
      </w:r>
    </w:p>
    <w:p>
      <w:pPr>
        <w:pStyle w:val="DatumXBody"/>
        <w:spacing w:before="0" w:after="140" w:line="283" w:lineRule="auto"/>
        <w:jc w:val="both"/>
      </w:pPr>
      <w:r>
        <w:rPr>
          <w:rFonts w:ascii="Arial" w:hAnsi="Arial"/>
          <w:b w:val="0"/>
          <w:i w:val="0"/>
          <w:color w:val="1A212B"/>
          <w:sz w:val="21"/>
        </w:rPr>
        <w:t>The visual design is dark, restrained, and institutional because the product goal is technical seriousness rather than playful accessibility. This is not a consumer wallet, a speculative token dashboard, or a lightweight file viewer. It is intended to feel like mission-critical software where the user is inspecting the state of governed analytical releases.</w:t>
      </w:r>
    </w:p>
    <w:p>
      <w:pPr>
        <w:pStyle w:val="DatumXBody"/>
        <w:spacing w:before="0" w:after="140" w:line="283" w:lineRule="auto"/>
        <w:jc w:val="both"/>
      </w:pPr>
      <w:r>
        <w:rPr>
          <w:rFonts w:ascii="Arial" w:hAnsi="Arial"/>
          <w:b w:val="0"/>
          <w:i w:val="0"/>
          <w:color w:val="1A212B"/>
          <w:sz w:val="21"/>
        </w:rPr>
        <w:t>That design philosophy is tied directly to product goals. The sidebar is structured like a control surface. The top navigation foregrounds the active project and network posture. The datasets surface emphasizes stage, status, confidence, reviewer counts, and chain linkage. The validation panel focuses on threshold context, review contribution, and finalization posture. The audit trail exists because event history is part of trust, not an auxiliary detail.</w:t>
      </w:r>
    </w:p>
    <w:p>
      <w:pPr>
        <w:pStyle w:val="DatumXBody"/>
        <w:spacing w:before="0" w:after="140" w:line="283" w:lineRule="auto"/>
        <w:jc w:val="both"/>
      </w:pPr>
      <w:r>
        <w:rPr>
          <w:rFonts w:ascii="Arial" w:hAnsi="Arial"/>
          <w:b w:val="0"/>
          <w:i w:val="0"/>
          <w:color w:val="1A212B"/>
          <w:sz w:val="21"/>
        </w:rPr>
        <w:t>The lineage graph is particularly important. DatumX’s core protocol claim is that transformed releases should have deterministic provenance and progression. If the UI hides that progression, the product would undercut its own thesis. The lineage surface therefore matters not just as a feature, but as a trust visualization. It shows the user that a release is not an isolated object. It belongs to a path.</w:t>
      </w:r>
    </w:p>
    <w:p>
      <w:pPr>
        <w:pStyle w:val="DatumXBody"/>
        <w:spacing w:before="0" w:after="140" w:line="283" w:lineRule="auto"/>
        <w:jc w:val="both"/>
      </w:pPr>
      <w:r>
        <w:rPr>
          <w:rFonts w:ascii="Arial" w:hAnsi="Arial"/>
          <w:b w:val="0"/>
          <w:i w:val="0"/>
          <w:color w:val="1A212B"/>
          <w:sz w:val="21"/>
        </w:rPr>
        <w:t>The audit timeline serves a similar purpose. Trust systems fail when critical actions are visible only in raw chain explorers or internal logs. DatumX’s UI surfaces review, submission, and finalization actions directly, and the hardening pass further aligns that surface with truth by attaching real XRPL transaction hashes from the canonical deployment records where known. That turns the timeline from a mostly derived narrative into an evidentiary bridge between the console and the chain.</w:t>
      </w:r>
    </w:p>
    <w:p>
      <w:pPr>
        <w:pStyle w:val="DatumXBody"/>
        <w:spacing w:before="0" w:after="140" w:line="283" w:lineRule="auto"/>
        <w:jc w:val="both"/>
      </w:pPr>
      <w:r>
        <w:rPr>
          <w:rFonts w:ascii="Arial" w:hAnsi="Arial"/>
          <w:b w:val="0"/>
          <w:i w:val="0"/>
          <w:color w:val="1A212B"/>
          <w:sz w:val="21"/>
        </w:rPr>
        <w:t>Another important design principle is UI truth alignment. The frontend should not claim more than the chain actually exposes. This is why the app keeps a clear boundary between live chain state and enriched mock context. When the chain does not expose prose-level metadata, the UI can supplement with narrative context, but it must remain clear that the protocol itself is the source of the critical state. That is a systems design choice, not just a frontend one.</w:t>
      </w:r>
    </w:p>
    <w:p>
      <w:pPr>
        <w:pStyle w:val="DatumXBody"/>
        <w:spacing w:before="0" w:after="140" w:line="283" w:lineRule="auto"/>
        <w:jc w:val="both"/>
      </w:pPr>
      <w:r>
        <w:rPr>
          <w:rFonts w:ascii="Arial" w:hAnsi="Arial"/>
          <w:b w:val="0"/>
          <w:i w:val="0"/>
          <w:color w:val="1A212B"/>
          <w:sz w:val="21"/>
        </w:rPr>
        <w:t>That truth-alignment principle becomes especially important once live data is available. The UI now maps real deployment-manifest transaction hashes into the audit trail for the known XRPL lineage exercises. That means the operator can move from an in-console timeline event to an explorer-visible transaction when the historical proof is known. At the same time, the console avoids inventing fields that the chain does not actually expose. For example, a live dataset can expose its canonical content hash and parent relationship, but not every source-side narrative detail. The product treats that limitation honestly rather than fabricating a more complete story than the protocol can support.</w:t>
      </w:r>
    </w:p>
    <w:p>
      <w:pPr>
        <w:pStyle w:val="DatumXSectionTitle"/>
        <w:pBdr>
          <w:bottom w:val="single" w:sz="10" w:space="1" w:color="C6D1C6"/>
        </w:pBdr>
      </w:pPr>
      <w:r>
        <w:rPr>
          <w:rFonts w:ascii="Courier New" w:hAnsi="Courier New"/>
          <w:b/>
          <w:i w:val="0"/>
          <w:color w:val="1A212B"/>
          <w:sz w:val="28"/>
        </w:rPr>
        <w:t>11. XRPL EVM Deployment Model</w:t>
      </w:r>
    </w:p>
    <w:tbl>
      <w:tblPr>
        <w:tblW w:type="auto" w:w="0"/>
        <w:jc w:val="left"/>
        <w:tblLook w:firstColumn="1" w:firstRow="1" w:lastColumn="0" w:lastRow="0" w:noHBand="0" w:noVBand="1" w:val="04A0"/>
      </w:tblPr>
      <w:tblGrid>
        <w:gridCol w:w="9360"/>
      </w:tblGrid>
      <w:tr>
        <w:tc>
          <w:tcPr>
            <w:tcW w:type="dxa" w:w="9360"/>
            <w:shd w:fill="EEF4EE"/>
            <w:tcBorders>
              <w:top w:val="single" w:sz="8" w:space="0" w:color="C6D1C6"/>
              <w:left w:val="single" w:sz="8" w:space="0" w:color="C6D1C6"/>
              <w:bottom w:val="single" w:sz="8" w:space="0" w:color="C6D1C6"/>
              <w:right w:val="single" w:sz="8" w:space="0" w:color="C6D1C6"/>
            </w:tcBorders>
          </w:tcPr>
          <w:p>
            <w:r>
              <w:rPr>
                <w:rFonts w:ascii="Courier New" w:hAnsi="Courier New"/>
                <w:b/>
                <w:i w:val="0"/>
                <w:color w:val="78A37B"/>
                <w:sz w:val="17"/>
              </w:rPr>
              <w:t>LIVE PROOF</w:t>
            </w:r>
          </w:p>
          <w:p>
            <w:pPr>
              <w:pStyle w:val="DatumXCallout"/>
              <w:spacing w:before="20" w:after="80" w:line="274" w:lineRule="auto"/>
            </w:pPr>
            <w:r>
              <w:rPr>
                <w:rFonts w:ascii="Arial" w:hAnsi="Arial"/>
                <w:b w:val="0"/>
                <w:i/>
                <w:color w:val="1A212B"/>
                <w:sz w:val="21"/>
              </w:rPr>
              <w:t>DatumX has already proven root-to-child lineage on XRPL EVM Testnet and restored thresholds after each fast-path exercise.</w:t>
            </w:r>
          </w:p>
        </w:tc>
      </w:tr>
    </w:tbl>
    <w:p>
      <w:pPr>
        <w:pStyle w:val="DatumXBody"/>
        <w:spacing w:before="0" w:after="140" w:line="283" w:lineRule="auto"/>
        <w:jc w:val="both"/>
      </w:pPr>
      <w:r>
        <w:rPr>
          <w:rFonts w:ascii="Arial" w:hAnsi="Arial"/>
          <w:b w:val="0"/>
          <w:i w:val="0"/>
          <w:color w:val="1A212B"/>
          <w:sz w:val="21"/>
        </w:rPr>
        <w:t>DatumX is deployed on XRPL EVM Testnet. That choice is practical rather than ideological.</w:t>
      </w:r>
    </w:p>
    <w:p>
      <w:pPr>
        <w:pStyle w:val="DatumXBody"/>
        <w:spacing w:before="0" w:after="140" w:line="283" w:lineRule="auto"/>
        <w:jc w:val="both"/>
      </w:pPr>
      <w:r>
        <w:rPr>
          <w:rFonts w:ascii="Arial" w:hAnsi="Arial"/>
          <w:b w:val="0"/>
          <w:i w:val="0"/>
          <w:color w:val="1A212B"/>
          <w:sz w:val="21"/>
        </w:rPr>
        <w:t>The protocol needs a real EVM environment with normal wallet behavior, realistic transaction semantics, and publicly inspectable explorer links. It also needs a cost and speed profile that makes repeated protocol testing and user interaction reasonable during product maturation. XRPL EVM Testnet is a good fit for that combination.</w:t>
      </w:r>
    </w:p>
    <w:p>
      <w:pPr>
        <w:pStyle w:val="DatumXBody"/>
        <w:spacing w:before="0" w:after="140" w:line="283" w:lineRule="auto"/>
        <w:jc w:val="both"/>
      </w:pPr>
      <w:r>
        <w:rPr>
          <w:rFonts w:ascii="Arial" w:hAnsi="Arial"/>
          <w:b w:val="0"/>
          <w:i w:val="0"/>
          <w:color w:val="1A212B"/>
          <w:sz w:val="21"/>
        </w:rPr>
        <w:t>MetaMask integration matters because it makes the operational flow normal for EVM users. Connect wallet. Detect chain. Add or switch the network if needed. Sign a transaction. Inspect the result in the explorer. That flow is familiar, which reduces friction in technical review and demonstration.</w:t>
      </w:r>
    </w:p>
    <w:p>
      <w:pPr>
        <w:pStyle w:val="DatumXBody"/>
        <w:spacing w:before="0" w:after="140" w:line="283" w:lineRule="auto"/>
        <w:jc w:val="both"/>
      </w:pPr>
      <w:r>
        <w:rPr>
          <w:rFonts w:ascii="Arial" w:hAnsi="Arial"/>
          <w:b w:val="0"/>
          <w:i w:val="0"/>
          <w:color w:val="1A212B"/>
          <w:sz w:val="21"/>
        </w:rPr>
        <w:t>XRPL EVM Testnet also provides a realistic setting for transaction hardening. DatumX’s smoke-test runner explicitly uses fixed gas limits and legacy gas mode to remain compatible with XRPL EVM behavior. That detail is important because deployment readiness is not just about compiling contracts. It is about proving that operational scripts, wallet clients, and user-facing transaction flows behave correctly on the target network.</w:t>
      </w:r>
    </w:p>
    <w:p>
      <w:pPr>
        <w:pStyle w:val="DatumXBody"/>
        <w:spacing w:before="0" w:after="140" w:line="283" w:lineRule="auto"/>
        <w:jc w:val="both"/>
      </w:pPr>
      <w:r>
        <w:rPr>
          <w:rFonts w:ascii="Arial" w:hAnsi="Arial"/>
          <w:b w:val="0"/>
          <w:i w:val="0"/>
          <w:color w:val="1A212B"/>
          <w:sz w:val="21"/>
        </w:rPr>
        <w:t>Compared with Ethereum mainnet, XRPL EVM testnet provides lower operational cost and less friction for iterative validation. DatumX is not yet at the stage where mainnet economics would improve the protocol’s core claims. What matters right now is proving the release model, proving the wallet flow, and proving that the protocol behaves coherently in a real EVM execution environment. XRPL EVM Testnet is sufficient for that purpose and, in some ways, better suited to it.</w:t>
      </w:r>
    </w:p>
    <w:p>
      <w:pPr>
        <w:pStyle w:val="DatumXBody"/>
        <w:spacing w:before="0" w:after="140" w:line="283" w:lineRule="auto"/>
        <w:jc w:val="both"/>
      </w:pPr>
      <w:r>
        <w:rPr>
          <w:rFonts w:ascii="Arial" w:hAnsi="Arial"/>
          <w:b w:val="0"/>
          <w:i w:val="0"/>
          <w:color w:val="1A212B"/>
          <w:sz w:val="21"/>
        </w:rPr>
        <w:t>The deployment history also matters to the protocol narrative. DatumX has a canonical V5 deployment with named contract addresses, registered adapters, granted validator roles, and a documented live protocol exercise. In that live exercise, the system successfully recorded a root dataset, collected validator reviews, finalized that root dataset, submitted a child dataset derived from the finalized parent, collected reviews on the child, and finalized the child. The resulting lineage relation is visible onchain through getParentDatasetId(2) and getChildDatasetIds(1). That matters because it demonstrates that the protocol’s central promise—controlled release progression from parent to child—is not merely theoretical.</w:t>
      </w:r>
    </w:p>
    <w:p>
      <w:pPr>
        <w:pStyle w:val="DatumXBody"/>
        <w:spacing w:before="0" w:after="140" w:line="283" w:lineRule="auto"/>
        <w:jc w:val="both"/>
      </w:pPr>
      <w:r>
        <w:rPr>
          <w:rFonts w:ascii="Arial" w:hAnsi="Arial"/>
          <w:b w:val="0"/>
          <w:i w:val="0"/>
          <w:color w:val="1A212B"/>
          <w:sz w:val="21"/>
        </w:rPr>
        <w:t>The later admin fast-path smoke test adds another layer of confidence. In that flow, thresholds were temporarily lowered to allow a single validator path for testnet verification, a fresh root and child lineage pair were submitted and finalized, lineage linkage was checked explicitly, and thresholds were restored to 3, 6667, and 7000. The restoration step is important. It proves that the test posture did not silently become the canonical operating posture. The protocol returned to its intended live thresholds after the exercise, which is exactly what an operations-aware system should do.</w:t>
      </w:r>
    </w:p>
    <w:p>
      <w:pPr>
        <w:pStyle w:val="DatumXBody"/>
        <w:spacing w:before="0" w:after="140" w:line="283" w:lineRule="auto"/>
        <w:jc w:val="both"/>
      </w:pPr>
      <w:r>
        <w:rPr>
          <w:rFonts w:ascii="Arial" w:hAnsi="Arial"/>
          <w:b w:val="0"/>
          <w:i w:val="0"/>
          <w:color w:val="1A212B"/>
          <w:sz w:val="21"/>
        </w:rPr>
        <w:t>Taken together, those runs constitute what can reasonably be described as a triple audit process for the current DatumX state. The first audit layer is the contract audit expressed through the Foundry suite and protocol-hardening review. The second is the frontend and integration audit, where wallet flow, explorer links, live-read mapping, and UI truth alignment are checked against the deployed contracts. The third is the live XRPL operational audit, where the release model is exercised end to end against the actual deployment. DatumX does not claim perfection because those layers exist. It claims seriousness because those layers exist and are recorded.</w:t>
      </w:r>
    </w:p>
    <w:p>
      <w:pPr>
        <w:pStyle w:val="DatumXSectionTitle"/>
        <w:pBdr>
          <w:bottom w:val="single" w:sz="10" w:space="1" w:color="C6D1C6"/>
        </w:pBdr>
      </w:pPr>
      <w:r>
        <w:rPr>
          <w:rFonts w:ascii="Courier New" w:hAnsi="Courier New"/>
          <w:b/>
          <w:i w:val="0"/>
          <w:color w:val="1A212B"/>
          <w:sz w:val="28"/>
        </w:rPr>
        <w:t>12. Tradeoffs + Limitations</w:t>
      </w:r>
    </w:p>
    <w:p>
      <w:pPr>
        <w:pStyle w:val="DatumXBody"/>
        <w:spacing w:before="0" w:after="140" w:line="283" w:lineRule="auto"/>
        <w:jc w:val="both"/>
      </w:pPr>
      <w:r>
        <w:rPr>
          <w:rFonts w:ascii="Arial" w:hAnsi="Arial"/>
          <w:b w:val="0"/>
          <w:i w:val="0"/>
          <w:color w:val="1A212B"/>
          <w:sz w:val="21"/>
        </w:rPr>
        <w:t>DatumX has meaningful limitations, and treating them honestly is part of making the project credible.</w:t>
      </w:r>
    </w:p>
    <w:p>
      <w:pPr>
        <w:pStyle w:val="DatumXBody"/>
        <w:spacing w:before="0" w:after="140" w:line="283" w:lineRule="auto"/>
        <w:jc w:val="both"/>
      </w:pPr>
      <w:r>
        <w:rPr>
          <w:rFonts w:ascii="Arial" w:hAnsi="Arial"/>
          <w:b w:val="0"/>
          <w:i w:val="0"/>
          <w:color w:val="1A212B"/>
          <w:sz w:val="21"/>
        </w:rPr>
        <w:t>First, DatumX depends on off-chain data persistence. The protocol stores hashes, URIs, lineage references, and review artifacts, but it does not store the full industrial datasets on-chain. That is appropriate for cost and practicality, but it means data availability remains an off-chain responsibility.</w:t>
      </w:r>
    </w:p>
    <w:p>
      <w:pPr>
        <w:pStyle w:val="DatumXBody"/>
        <w:spacing w:before="0" w:after="140" w:line="283" w:lineRule="auto"/>
        <w:jc w:val="both"/>
      </w:pPr>
      <w:r>
        <w:rPr>
          <w:rFonts w:ascii="Arial" w:hAnsi="Arial"/>
          <w:b w:val="0"/>
          <w:i w:val="0"/>
          <w:color w:val="1A212B"/>
          <w:sz w:val="21"/>
        </w:rPr>
        <w:t>Second, the protocol assumes that adapters are trustworthy normalization boundaries. The system verifies project binding and typed input structure, but it does not independently prove the scientific correctness of the transformation inside the adapter or upstream pipeline.</w:t>
      </w:r>
    </w:p>
    <w:p>
      <w:pPr>
        <w:pStyle w:val="DatumXBody"/>
        <w:spacing w:before="0" w:after="140" w:line="283" w:lineRule="auto"/>
        <w:jc w:val="both"/>
      </w:pPr>
      <w:r>
        <w:rPr>
          <w:rFonts w:ascii="Arial" w:hAnsi="Arial"/>
          <w:b w:val="0"/>
          <w:i w:val="0"/>
          <w:color w:val="1A212B"/>
          <w:sz w:val="21"/>
        </w:rPr>
        <w:t>Third, the validator model is permissioned rather than permissionless. That is appropriate for industrial review workflows, but it means the system’s quality still depends on governance over validator assignment and behavior. DatumX is explicit about that tradeoff. It favors accountable review over abstract decentralization.</w:t>
      </w:r>
    </w:p>
    <w:p>
      <w:pPr>
        <w:pStyle w:val="DatumXBody"/>
        <w:spacing w:before="0" w:after="140" w:line="283" w:lineRule="auto"/>
        <w:jc w:val="both"/>
      </w:pPr>
      <w:r>
        <w:rPr>
          <w:rFonts w:ascii="Arial" w:hAnsi="Arial"/>
          <w:b w:val="0"/>
          <w:i w:val="0"/>
          <w:color w:val="1A212B"/>
          <w:sz w:val="21"/>
        </w:rPr>
        <w:t>Fourth, the frontend necessarily carries some fixture-enriched context because the chain does not expose every narrative detail that users want to see. The hardening pass improves truth alignment, but the UI is still a mixed live-plus-context system rather than a pure chain mirror.</w:t>
      </w:r>
    </w:p>
    <w:p>
      <w:pPr>
        <w:pStyle w:val="DatumXBody"/>
        <w:spacing w:before="0" w:after="140" w:line="283" w:lineRule="auto"/>
        <w:jc w:val="both"/>
      </w:pPr>
      <w:r>
        <w:rPr>
          <w:rFonts w:ascii="Arial" w:hAnsi="Arial"/>
          <w:b w:val="0"/>
          <w:i w:val="0"/>
          <w:color w:val="1A212B"/>
          <w:sz w:val="21"/>
        </w:rPr>
        <w:t>Fifth, gas and complexity remain a balancing act. DatumX deliberately keeps the protocol compact. It does not attempt to encode full drill-level provenance trees, model execution attestations, or rich governance logic on-chain today. That is not because those ideas are uninteresting. It is because overloading the core protocol too early would weaken readability and auditability.</w:t>
      </w:r>
    </w:p>
    <w:p>
      <w:pPr>
        <w:pStyle w:val="DatumXBody"/>
        <w:spacing w:before="0" w:after="140" w:line="283" w:lineRule="auto"/>
        <w:jc w:val="both"/>
      </w:pPr>
      <w:r>
        <w:rPr>
          <w:rFonts w:ascii="Arial" w:hAnsi="Arial"/>
          <w:b w:val="0"/>
          <w:i w:val="0"/>
          <w:color w:val="1A212B"/>
          <w:sz w:val="21"/>
        </w:rPr>
        <w:t>These limitations do not invalidate the project. They define the boundary within which DatumX can make strong claims. The project is strongest when it says: we are providing a verifiable transformation and release layer, not a universal oracle for industrial truth.</w:t>
      </w:r>
    </w:p>
    <w:p>
      <w:pPr>
        <w:pStyle w:val="DatumXSectionTitle"/>
        <w:pBdr>
          <w:bottom w:val="single" w:sz="10" w:space="1" w:color="C6D1C6"/>
        </w:pBdr>
      </w:pPr>
      <w:r>
        <w:rPr>
          <w:rFonts w:ascii="Courier New" w:hAnsi="Courier New"/>
          <w:b/>
          <w:i w:val="0"/>
          <w:color w:val="1A212B"/>
          <w:sz w:val="28"/>
        </w:rPr>
        <w:t>13. Future Extensions</w:t>
      </w:r>
    </w:p>
    <w:p>
      <w:pPr>
        <w:pStyle w:val="DatumXBody"/>
        <w:spacing w:before="0" w:after="140" w:line="283" w:lineRule="auto"/>
        <w:jc w:val="both"/>
      </w:pPr>
      <w:r>
        <w:rPr>
          <w:rFonts w:ascii="Arial" w:hAnsi="Arial"/>
          <w:b w:val="0"/>
          <w:i w:val="0"/>
          <w:color w:val="1A212B"/>
          <w:sz w:val="21"/>
        </w:rPr>
        <w:t>DatumX’s current form is specific enough to be credible and general enough to extend.</w:t>
      </w:r>
    </w:p>
    <w:p>
      <w:pPr>
        <w:pStyle w:val="DatumXBody"/>
        <w:spacing w:before="0" w:after="140" w:line="283" w:lineRule="auto"/>
        <w:jc w:val="both"/>
      </w:pPr>
      <w:r>
        <w:rPr>
          <w:rFonts w:ascii="Arial" w:hAnsi="Arial"/>
          <w:b w:val="0"/>
          <w:i w:val="0"/>
          <w:color w:val="1A212B"/>
          <w:sz w:val="21"/>
        </w:rPr>
        <w:t>One natural extension is broader adapter coverage. The adapter model already anticipates cross-company or cross-project normalization, including future support for additional operators and asset groups. The point would not be to make the protocol geologically generic in the abstract. The point would be to prove that the same release discipline can apply across multiple industrial datasets while preserving project-specific normalization.</w:t>
      </w:r>
    </w:p>
    <w:p>
      <w:pPr>
        <w:pStyle w:val="DatumXBody"/>
        <w:spacing w:before="0" w:after="140" w:line="283" w:lineRule="auto"/>
        <w:jc w:val="both"/>
      </w:pPr>
      <w:r>
        <w:rPr>
          <w:rFonts w:ascii="Arial" w:hAnsi="Arial"/>
          <w:b w:val="0"/>
          <w:i w:val="0"/>
          <w:color w:val="1A212B"/>
          <w:sz w:val="21"/>
        </w:rPr>
        <w:t>Another extension is AI oracle integration. Today the protocol captures claimed confidence and review outcomes, but it does not natively attest to model execution or model lineage. A future version could anchor model identity, transformation manifests, or signed inference attestations without compromising the current release model.</w:t>
      </w:r>
    </w:p>
    <w:p>
      <w:pPr>
        <w:pStyle w:val="DatumXBody"/>
        <w:spacing w:before="0" w:after="140" w:line="283" w:lineRule="auto"/>
        <w:jc w:val="both"/>
      </w:pPr>
      <w:r>
        <w:rPr>
          <w:rFonts w:ascii="Arial" w:hAnsi="Arial"/>
          <w:b w:val="0"/>
          <w:i w:val="0"/>
          <w:color w:val="1A212B"/>
          <w:sz w:val="21"/>
        </w:rPr>
        <w:t>Reputation-weighted validators are another plausible next step. The current system treats validators symmetrically. A more mature governance layer could incorporate reviewer history, specialization, or delegated reputation while still preserving explicit review records.</w:t>
      </w:r>
    </w:p>
    <w:p>
      <w:pPr>
        <w:pStyle w:val="DatumXBody"/>
        <w:spacing w:before="0" w:after="140" w:line="283" w:lineRule="auto"/>
        <w:jc w:val="both"/>
      </w:pPr>
      <w:r>
        <w:rPr>
          <w:rFonts w:ascii="Arial" w:hAnsi="Arial"/>
          <w:b w:val="0"/>
          <w:i w:val="0"/>
          <w:color w:val="1A212B"/>
          <w:sz w:val="21"/>
        </w:rPr>
        <w:t>Merkle-style drill-level verification is also a realistic extension. The current system anchors release-level hashes. That is appropriate for the present stage, but more granular proofs could allow downstream consumers to verify that particular drill records or interval subsets belong to a finalized release.</w:t>
      </w:r>
    </w:p>
    <w:p>
      <w:pPr>
        <w:pStyle w:val="DatumXBody"/>
        <w:spacing w:before="0" w:after="140" w:line="283" w:lineRule="auto"/>
        <w:jc w:val="both"/>
      </w:pPr>
      <w:r>
        <w:rPr>
          <w:rFonts w:ascii="Arial" w:hAnsi="Arial"/>
          <w:b w:val="0"/>
          <w:i w:val="0"/>
          <w:color w:val="1A212B"/>
          <w:sz w:val="21"/>
        </w:rPr>
        <w:t>Governance modules, financing integration, and enterprise-facing release controls are all possible, but they should remain downstream of the current core. DatumX’s credibility comes from getting the release discipline right first. The future roadmap should expand that trust infrastructure, not dilute it.</w:t>
      </w:r>
    </w:p>
    <w:p>
      <w:pPr>
        <w:pStyle w:val="DatumXSectionTitle"/>
        <w:pBdr>
          <w:bottom w:val="single" w:sz="10" w:space="1" w:color="C6D1C6"/>
        </w:pBdr>
      </w:pPr>
      <w:r>
        <w:rPr>
          <w:rFonts w:ascii="Courier New" w:hAnsi="Courier New"/>
          <w:b/>
          <w:i w:val="0"/>
          <w:color w:val="1A212B"/>
          <w:sz w:val="28"/>
        </w:rPr>
        <w:t>14. Why This Matters</w:t>
      </w:r>
    </w:p>
    <w:p>
      <w:pPr>
        <w:pStyle w:val="DatumXBody"/>
        <w:spacing w:before="0" w:after="140" w:line="283" w:lineRule="auto"/>
        <w:jc w:val="both"/>
      </w:pPr>
      <w:r>
        <w:rPr>
          <w:rFonts w:ascii="Arial" w:hAnsi="Arial"/>
          <w:b w:val="0"/>
          <w:i w:val="0"/>
          <w:color w:val="1A212B"/>
          <w:sz w:val="21"/>
        </w:rPr>
        <w:t>The most important shift DatumX represents is the move from data to trusted transformed data.</w:t>
      </w:r>
    </w:p>
    <w:p>
      <w:pPr>
        <w:pStyle w:val="DatumXBody"/>
        <w:spacing w:before="0" w:after="140" w:line="283" w:lineRule="auto"/>
        <w:jc w:val="both"/>
      </w:pPr>
      <w:r>
        <w:rPr>
          <w:rFonts w:ascii="Arial" w:hAnsi="Arial"/>
          <w:b w:val="0"/>
          <w:i w:val="0"/>
          <w:color w:val="1A212B"/>
          <w:sz w:val="21"/>
        </w:rPr>
        <w:t>AI pipelines are increasing the amount of industrial data that can be extracted, cleaned, and interpreted. That trend is not going to reverse. What remains scarce is not the ability to transform records, but the ability to defend transformed releases after they have been altered by multiple stages of computation and judgment.</w:t>
      </w:r>
    </w:p>
    <w:p>
      <w:pPr>
        <w:pStyle w:val="DatumXBody"/>
        <w:spacing w:before="0" w:after="140" w:line="283" w:lineRule="auto"/>
        <w:jc w:val="both"/>
      </w:pPr>
      <w:r>
        <w:rPr>
          <w:rFonts w:ascii="Arial" w:hAnsi="Arial"/>
          <w:b w:val="0"/>
          <w:i w:val="0"/>
          <w:color w:val="1A212B"/>
          <w:sz w:val="21"/>
        </w:rPr>
        <w:t>That is why raw storage is the wrong framing. A file store can tell you where a document lives. It cannot, by itself, tell you whether a targeting package was derived from a finalized parent, whether three validators reviewed it, whether the aggregate confidence cleared threshold, or whether an auditor actually closed the release. Those are release-integrity questions, not storage questions.</w:t>
      </w:r>
    </w:p>
    <w:p>
      <w:pPr>
        <w:pStyle w:val="DatumXBody"/>
        <w:spacing w:before="0" w:after="140" w:line="283" w:lineRule="auto"/>
        <w:jc w:val="both"/>
      </w:pPr>
      <w:r>
        <w:rPr>
          <w:rFonts w:ascii="Arial" w:hAnsi="Arial"/>
          <w:b w:val="0"/>
          <w:i w:val="0"/>
          <w:color w:val="1A212B"/>
          <w:sz w:val="21"/>
        </w:rPr>
        <w:t>DatumX matters because it defines an infrastructure layer for those questions. It is not a geology application wearing smart contracts as decoration. It is a protocol for release trust in transformed industrial data. The fact that the immediate use case is uranium exploration is important because it provides realism, but the core thesis extends beyond that domain. Any environment in which AI-transformed datasets become decision-bearing will face the same need for provenance, lineage, validator accountability, and explicit release semantics.</w:t>
      </w:r>
    </w:p>
    <w:p>
      <w:pPr>
        <w:pStyle w:val="DatumXBody"/>
        <w:spacing w:before="0" w:after="140" w:line="283" w:lineRule="auto"/>
        <w:jc w:val="both"/>
      </w:pPr>
      <w:r>
        <w:rPr>
          <w:rFonts w:ascii="Arial" w:hAnsi="Arial"/>
          <w:b w:val="0"/>
          <w:i w:val="0"/>
          <w:color w:val="1A212B"/>
          <w:sz w:val="21"/>
        </w:rPr>
        <w:t>That is why the protocol should be understood as infrastructure rather than an app. The console is important, but the console is not the center of gravity. The center of gravity is the release model: typed submission, canonical normalization, deterministic lineage, validator review, auditor closure, and recorded evidence on a public EVM network. Those ideas are useful in exploration, but they are also useful anywhere transformed records need to become reviewable releases instead of silently mutating operational inputs.</w:t>
      </w:r>
    </w:p>
    <w:p>
      <w:pPr>
        <w:pStyle w:val="DatumXSectionTitle"/>
        <w:pBdr>
          <w:bottom w:val="single" w:sz="10" w:space="1" w:color="C6D1C6"/>
        </w:pBdr>
      </w:pPr>
      <w:r>
        <w:rPr>
          <w:rFonts w:ascii="Courier New" w:hAnsi="Courier New"/>
          <w:b/>
          <w:i w:val="0"/>
          <w:color w:val="1A212B"/>
          <w:sz w:val="28"/>
        </w:rPr>
        <w:t>15. Conclusion</w:t>
      </w:r>
    </w:p>
    <w:p>
      <w:pPr>
        <w:pStyle w:val="DatumXBody"/>
        <w:spacing w:before="0" w:after="140" w:line="283" w:lineRule="auto"/>
        <w:jc w:val="both"/>
      </w:pPr>
      <w:r>
        <w:rPr>
          <w:rFonts w:ascii="Arial" w:hAnsi="Arial"/>
          <w:b w:val="0"/>
          <w:i w:val="0"/>
          <w:color w:val="1A212B"/>
          <w:sz w:val="21"/>
        </w:rPr>
        <w:t>DatumX is a serious systems project because it addresses a real modern bottleneck: proving the trustworthiness of transformed datasets after AI-assisted workflows have changed them.</w:t>
      </w:r>
    </w:p>
    <w:p>
      <w:pPr>
        <w:pStyle w:val="DatumXBody"/>
        <w:spacing w:before="0" w:after="140" w:line="283" w:lineRule="auto"/>
        <w:jc w:val="both"/>
      </w:pPr>
      <w:r>
        <w:rPr>
          <w:rFonts w:ascii="Arial" w:hAnsi="Arial"/>
          <w:b w:val="0"/>
          <w:i w:val="0"/>
          <w:color w:val="1A212B"/>
          <w:sz w:val="21"/>
        </w:rPr>
        <w:t>Its strength does not come from maximal on-chain ambition. It comes from disciplined scope. Adapters normalize project-specific inputs into a canonical boundary. The router isolates submission logic. The registry stores and protects release identity. The lineage graph enforces deterministic progression. Validators review. Auditors finalize. The frontend exposes that state in a way that matches the product’s trust goals. XRPL EVM deployment proves that the system operates in a real execution environment, including a live root→child lineage proof and a verified threshold-restoration smoke exercise.</w:t>
      </w:r>
    </w:p>
    <w:p>
      <w:pPr>
        <w:pStyle w:val="DatumXBody"/>
        <w:spacing w:before="0" w:after="140" w:line="283" w:lineRule="auto"/>
        <w:jc w:val="both"/>
      </w:pPr>
      <w:r>
        <w:rPr>
          <w:rFonts w:ascii="Arial" w:hAnsi="Arial"/>
          <w:b w:val="0"/>
          <w:i w:val="0"/>
          <w:color w:val="1A212B"/>
          <w:sz w:val="21"/>
        </w:rPr>
        <w:t>This is not a toy project because it is not built around novelty for its own sake. It is built around a narrow, consequential systems problem. As AI transformation becomes more common in industrial settings, protocols like DatumX will matter more, not less. The more frequently data is changed before it is consumed, the more valuable it becomes to know exactly how that change became legitimate.</w:t>
      </w:r>
    </w:p>
    <w:p>
      <w:pPr>
        <w:pStyle w:val="DatumXBody"/>
        <w:spacing w:before="0" w:after="140" w:line="283" w:lineRule="auto"/>
        <w:jc w:val="both"/>
      </w:pPr>
      <w:r>
        <w:rPr>
          <w:rFonts w:ascii="Arial" w:hAnsi="Arial"/>
          <w:b w:val="0"/>
          <w:i w:val="0"/>
          <w:color w:val="1A212B"/>
          <w:sz w:val="21"/>
        </w:rPr>
        <w:t>Author: DatumX Protocol · Built by ZRT — https://github.com/zrt219</w:t>
      </w:r>
    </w:p>
    <w:sectPr w:rsidR="00FC693F" w:rsidRPr="0006063C" w:rsidSect="00034616">
      <w:headerReference w:type="default" r:id="rId14"/>
      <w:footerReference w:type="default" r:id="rId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ourier New" w:hAnsi="Courier New"/>
        <w:b w:val="0"/>
        <w:i w:val="0"/>
        <w:color w:val="606C7A"/>
        <w:sz w:val="17"/>
      </w:rPr>
      <w:t xml:space="preserve">DatumX Protocol Case Study | Page </w:t>
    </w:r>
    <w: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ourier New" w:hAnsi="Courier New"/>
        <w:b w:val="0"/>
        <w:i w:val="0"/>
        <w:color w:val="606C7A"/>
        <w:sz w:val="17"/>
      </w:rPr>
      <w:t xml:space="preserve">DatumX Protocol Case Study | Page </w:t>
    </w:r>
    <w: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ourier New" w:hAnsi="Courier New"/>
        <w:b w:val="0"/>
        <w:i w:val="0"/>
        <w:color w:val="606C7A"/>
        <w:sz w:val="17"/>
      </w:rPr>
      <w:t xml:space="preserve">DatumX Protocol Case Study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Pr>
        <w:rFonts w:ascii="Courier New" w:hAnsi="Courier New"/>
        <w:b/>
        <w:i w:val="0"/>
        <w:color w:val="606C7A"/>
        <w:sz w:val="16"/>
      </w:rPr>
      <w:t>DATUMX PROTOCOL CASE STUDY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Pr>
        <w:rFonts w:ascii="Courier New" w:hAnsi="Courier New"/>
        <w:b/>
        <w:i w:val="0"/>
        <w:color w:val="606C7A"/>
        <w:sz w:val="16"/>
      </w:rPr>
      <w:t>DATUMX PROTOCOL CASE STUDY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Pr>
        <w:rFonts w:ascii="Courier New" w:hAnsi="Courier New"/>
        <w:b/>
        <w:i w:val="0"/>
        <w:color w:val="606C7A"/>
        <w:sz w:val="16"/>
      </w:rPr>
      <w:t>DATUMX PROTOCOL CASE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Arial" w:hAnsi="Arial"/>
      <w:color w:val="1A21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tumXBody">
    <w:name w:val="DatumX Body"/>
    <w:basedOn w:val="Normal"/>
    <w:pPr>
      <w:spacing w:after="140" w:line="283" w:lineRule="auto"/>
    </w:pPr>
    <w:rPr>
      <w:rFonts w:ascii="Arial" w:hAnsi="Arial"/>
      <w:color w:val="1A212B"/>
      <w:sz w:val="21"/>
    </w:rPr>
  </w:style>
  <w:style w:type="paragraph" w:customStyle="1" w:styleId="DatumXLabel">
    <w:name w:val="DatumX Label"/>
    <w:basedOn w:val="Normal"/>
    <w:pPr>
      <w:spacing w:after="60"/>
    </w:pPr>
    <w:rPr>
      <w:rFonts w:ascii="Courier New" w:hAnsi="Courier New"/>
      <w:b/>
      <w:color w:val="78A37B"/>
      <w:sz w:val="17"/>
    </w:rPr>
  </w:style>
  <w:style w:type="paragraph" w:customStyle="1" w:styleId="DatumXSectionTitle">
    <w:name w:val="DatumX Section Title"/>
    <w:basedOn w:val="Normal"/>
    <w:pPr>
      <w:keepNext/>
      <w:spacing w:before="120" w:after="120"/>
    </w:pPr>
    <w:rPr>
      <w:rFonts w:ascii="Courier New" w:hAnsi="Courier New"/>
      <w:b/>
      <w:color w:val="1A212B"/>
      <w:sz w:val="28"/>
    </w:rPr>
  </w:style>
  <w:style w:type="paragraph" w:customStyle="1" w:styleId="DatumXSubsection">
    <w:name w:val="DatumX Subsection"/>
    <w:basedOn w:val="Normal"/>
    <w:pPr>
      <w:keepNext/>
      <w:spacing w:before="80" w:after="80"/>
    </w:pPr>
    <w:rPr>
      <w:rFonts w:ascii="Courier New" w:hAnsi="Courier New"/>
      <w:b/>
      <w:color w:val="5F7FA7"/>
      <w:sz w:val="22"/>
    </w:rPr>
  </w:style>
  <w:style w:type="paragraph" w:customStyle="1" w:styleId="DatumXMeta">
    <w:name w:val="DatumX Meta"/>
    <w:basedOn w:val="Normal"/>
    <w:pPr>
      <w:spacing w:after="80"/>
    </w:pPr>
    <w:rPr>
      <w:rFonts w:ascii="Courier New" w:hAnsi="Courier New"/>
      <w:color w:val="606C7A"/>
      <w:sz w:val="18"/>
    </w:rPr>
  </w:style>
  <w:style w:type="paragraph" w:customStyle="1" w:styleId="DatumXCallout">
    <w:name w:val="DatumX Callout"/>
    <w:basedOn w:val="Normal"/>
    <w:pPr>
      <w:spacing w:after="80" w:line="276" w:lineRule="auto"/>
    </w:pPr>
    <w:rPr>
      <w:rFonts w:ascii="Arial" w:hAnsi="Arial"/>
      <w:i/>
      <w:color w:val="1A212B"/>
      <w:sz w:val="21"/>
    </w:rPr>
  </w:style>
  <w:style w:type="paragraph" w:customStyle="1" w:styleId="DatumXCode">
    <w:name w:val="DatumX Code"/>
    <w:basedOn w:val="Normal"/>
    <w:pPr>
      <w:spacing w:after="80" w:line="240" w:lineRule="auto"/>
    </w:pPr>
    <w:rPr>
      <w:rFonts w:ascii="Courier New" w:hAnsi="Courier New"/>
      <w:color w:val="1A212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