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sz w:val="19"/>
        </w:rPr>
        <w:t>UMATTR Career Circle</w:t>
      </w:r>
    </w:p>
    <w:p>
      <w:pPr>
        <w:pStyle w:val="Heading1"/>
        <w:spacing w:after="60"/>
        <w:jc w:val="center"/>
      </w:pPr>
      <w:r>
        <w:rPr>
          <w:rFonts w:ascii="Arial" w:hAnsi="Arial"/>
          <w:b/>
          <w:sz w:val="36"/>
        </w:rPr>
        <w:t>AI for Student-Athlete Success - Workshop One-Sheet</w:t>
      </w:r>
    </w:p>
    <w:p>
      <w:pPr>
        <w:spacing w:before="0" w:after="160" w:line="252" w:lineRule="auto"/>
        <w:jc w:val="center"/>
      </w:pPr>
      <w:r>
        <w:rPr>
          <w:rFonts w:ascii="Arial" w:hAnsi="Arial"/>
          <w:b w:val="0"/>
          <w:i/>
          <w:sz w:val="22"/>
        </w:rPr>
        <w:t>Career Readiness, Personal Brand, and Life After Sport</w:t>
      </w:r>
    </w:p>
    <w:p>
      <w:pPr>
        <w:pStyle w:val="Heading2"/>
        <w:keepNext/>
      </w:pPr>
      <w:r>
        <w:rPr>
          <w:rFonts w:ascii="Arial" w:hAnsi="Arial"/>
          <w:b/>
          <w:sz w:val="26"/>
        </w:rPr>
        <w:t>Program Overview</w:t>
      </w:r>
    </w:p>
    <w:p>
      <w:pPr>
        <w:spacing w:before="0" w:after="80" w:line="252" w:lineRule="auto"/>
      </w:pPr>
      <w:r>
        <w:rPr>
          <w:rFonts w:ascii="Arial" w:hAnsi="Arial"/>
          <w:b/>
          <w:i w:val="0"/>
          <w:sz w:val="21"/>
        </w:rPr>
        <w:t>AI for Student-Athlete Success</w:t>
      </w:r>
      <w:r>
        <w:rPr>
          <w:rFonts w:ascii="Arial" w:hAnsi="Arial"/>
          <w:b w:val="0"/>
          <w:i w:val="0"/>
          <w:sz w:val="21"/>
        </w:rPr>
        <w:t xml:space="preserve"> is a 50-minute live workshop delivered through </w:t>
      </w:r>
      <w:r>
        <w:rPr>
          <w:rFonts w:ascii="Arial" w:hAnsi="Arial"/>
          <w:b/>
          <w:i w:val="0"/>
          <w:sz w:val="21"/>
        </w:rPr>
        <w:t>UMATTR Career Circle</w:t>
      </w:r>
      <w:r>
        <w:rPr>
          <w:rFonts w:ascii="Arial" w:hAnsi="Arial"/>
          <w:b w:val="0"/>
          <w:i w:val="0"/>
          <w:sz w:val="21"/>
        </w:rPr>
        <w:t>, our LinkedIn/Zoom-style social media platform for live learning, community connection, networking, and practical growth support.</w:t>
      </w:r>
    </w:p>
    <w:p>
      <w:pPr>
        <w:spacing w:before="0" w:after="80" w:line="252" w:lineRule="auto"/>
      </w:pPr>
      <w:r>
        <w:rPr>
          <w:rFonts w:ascii="Arial" w:hAnsi="Arial"/>
          <w:b w:val="0"/>
          <w:i w:val="0"/>
          <w:sz w:val="21"/>
        </w:rPr>
        <w:t>This workshop helps student-athletes understand how to use AI responsibly for career readiness, personal brand clarity, digital reputation, NIL-era decision-making, and life after sport.</w:t>
      </w:r>
    </w:p>
    <w:p>
      <w:pPr>
        <w:pStyle w:val="Heading2"/>
        <w:keepNext/>
      </w:pPr>
      <w:r>
        <w:rPr>
          <w:rFonts w:ascii="Arial" w:hAnsi="Arial"/>
          <w:b/>
          <w:sz w:val="26"/>
        </w:rPr>
        <w:t>Who This Is For</w:t>
      </w:r>
    </w:p>
    <w:p>
      <w:pPr>
        <w:pStyle w:val="ListBullet"/>
        <w:spacing w:before="0" w:after="40" w:line="240" w:lineRule="auto"/>
      </w:pPr>
      <w:r>
        <w:rPr>
          <w:rFonts w:ascii="Arial" w:hAnsi="Arial"/>
          <w:b w:val="0"/>
          <w:i w:val="0"/>
          <w:sz w:val="21"/>
        </w:rPr>
        <w:t>NCAA, university, college, high school, club, and elite student-athletes</w:t>
      </w:r>
    </w:p>
    <w:p>
      <w:pPr>
        <w:pStyle w:val="ListBullet"/>
        <w:spacing w:before="0" w:after="40" w:line="240" w:lineRule="auto"/>
      </w:pPr>
      <w:r>
        <w:rPr>
          <w:rFonts w:ascii="Arial" w:hAnsi="Arial"/>
          <w:b w:val="0"/>
          <w:i w:val="0"/>
          <w:sz w:val="21"/>
        </w:rPr>
        <w:t>Student-athlete development departments and career centers</w:t>
      </w:r>
    </w:p>
    <w:p>
      <w:pPr>
        <w:pStyle w:val="ListBullet"/>
        <w:spacing w:before="0" w:after="40" w:line="240" w:lineRule="auto"/>
      </w:pPr>
      <w:r>
        <w:rPr>
          <w:rFonts w:ascii="Arial" w:hAnsi="Arial"/>
          <w:b w:val="0"/>
          <w:i w:val="0"/>
          <w:sz w:val="21"/>
        </w:rPr>
        <w:t>Coaches, athletic directors, team captains, and leadership groups</w:t>
      </w:r>
    </w:p>
    <w:p>
      <w:pPr>
        <w:pStyle w:val="ListBullet"/>
        <w:spacing w:before="0" w:after="40" w:line="240" w:lineRule="auto"/>
      </w:pPr>
      <w:r>
        <w:rPr>
          <w:rFonts w:ascii="Arial" w:hAnsi="Arial"/>
          <w:b w:val="0"/>
          <w:i w:val="0"/>
          <w:sz w:val="21"/>
        </w:rPr>
        <w:t>Athletes preparing for internships, graduation, NIL opportunities, or career transition</w:t>
      </w:r>
    </w:p>
    <w:p>
      <w:pPr>
        <w:pStyle w:val="Heading2"/>
        <w:keepNext/>
      </w:pPr>
      <w:r>
        <w:rPr>
          <w:rFonts w:ascii="Arial" w:hAnsi="Arial"/>
          <w:b/>
          <w:sz w:val="26"/>
        </w:rPr>
        <w:t>Learning Outcomes</w:t>
      </w:r>
    </w:p>
    <w:p>
      <w:pPr>
        <w:pStyle w:val="ListBullet"/>
        <w:spacing w:before="0" w:after="40" w:line="240" w:lineRule="auto"/>
      </w:pPr>
      <w:r>
        <w:rPr>
          <w:rFonts w:ascii="Arial" w:hAnsi="Arial"/>
          <w:b w:val="0"/>
          <w:i w:val="0"/>
          <w:sz w:val="21"/>
        </w:rPr>
        <w:t>Understand what AI can and cannot do for student-athletes.</w:t>
      </w:r>
    </w:p>
    <w:p>
      <w:pPr>
        <w:pStyle w:val="ListBullet"/>
        <w:spacing w:before="0" w:after="40" w:line="240" w:lineRule="auto"/>
      </w:pPr>
      <w:r>
        <w:rPr>
          <w:rFonts w:ascii="Arial" w:hAnsi="Arial"/>
          <w:b w:val="0"/>
          <w:i w:val="0"/>
          <w:sz w:val="21"/>
        </w:rPr>
        <w:t>Translate athletic experience into professional skills for resumes, interviews, and networking.</w:t>
      </w:r>
    </w:p>
    <w:p>
      <w:pPr>
        <w:pStyle w:val="ListBullet"/>
        <w:spacing w:before="0" w:after="40" w:line="240" w:lineRule="auto"/>
      </w:pPr>
      <w:r>
        <w:rPr>
          <w:rFonts w:ascii="Arial" w:hAnsi="Arial"/>
          <w:b w:val="0"/>
          <w:i w:val="0"/>
          <w:sz w:val="21"/>
        </w:rPr>
        <w:t>Use AI prompts for career planning, communication, organization, and confidence-building.</w:t>
      </w:r>
    </w:p>
    <w:p>
      <w:pPr>
        <w:pStyle w:val="ListBullet"/>
        <w:spacing w:before="0" w:after="40" w:line="240" w:lineRule="auto"/>
      </w:pPr>
      <w:r>
        <w:rPr>
          <w:rFonts w:ascii="Arial" w:hAnsi="Arial"/>
          <w:b w:val="0"/>
          <w:i w:val="0"/>
          <w:sz w:val="21"/>
        </w:rPr>
        <w:t>Build a personal brand that supports trust, opportunity, and digital reputation.</w:t>
      </w:r>
    </w:p>
    <w:p>
      <w:pPr>
        <w:pStyle w:val="ListBullet"/>
        <w:spacing w:before="0" w:after="40" w:line="240" w:lineRule="auto"/>
      </w:pPr>
      <w:r>
        <w:rPr>
          <w:rFonts w:ascii="Arial" w:hAnsi="Arial"/>
          <w:b w:val="0"/>
          <w:i w:val="0"/>
          <w:sz w:val="21"/>
        </w:rPr>
        <w:t>Create a simple 30-day action plan for life after sport.</w:t>
      </w:r>
    </w:p>
    <w:p>
      <w:pPr>
        <w:pStyle w:val="Heading2"/>
        <w:keepNext/>
      </w:pPr>
      <w:r>
        <w:rPr>
          <w:rFonts w:ascii="Arial" w:hAnsi="Arial"/>
          <w:b/>
          <w:sz w:val="26"/>
        </w:rPr>
        <w:t>50-Minute Format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EDEDE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sz w:val="18"/>
              </w:rPr>
              <w:t>Time</w:t>
            </w:r>
          </w:p>
        </w:tc>
        <w:tc>
          <w:tcPr>
            <w:tcW w:type="dxa" w:w="5184"/>
            <w:vAlign w:val="top"/>
            <w:shd w:fill="EDEDE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sz w:val="18"/>
              </w:rPr>
              <w:t>Focus</w:t>
            </w:r>
          </w:p>
        </w:tc>
      </w:tr>
      <w:tr>
        <w:tc>
          <w:tcPr>
            <w:tcW w:type="dxa" w:w="518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sz w:val="18"/>
              </w:rPr>
              <w:t>0-5 minutes</w:t>
            </w:r>
          </w:p>
        </w:tc>
        <w:tc>
          <w:tcPr>
            <w:tcW w:type="dxa" w:w="518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sz w:val="18"/>
              </w:rPr>
              <w:t>Welcome, athlete story, and workshop promise</w:t>
            </w:r>
          </w:p>
        </w:tc>
      </w:tr>
      <w:tr>
        <w:tc>
          <w:tcPr>
            <w:tcW w:type="dxa" w:w="518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sz w:val="18"/>
              </w:rPr>
              <w:t>5-15 minutes</w:t>
            </w:r>
          </w:p>
        </w:tc>
        <w:tc>
          <w:tcPr>
            <w:tcW w:type="dxa" w:w="518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sz w:val="18"/>
              </w:rPr>
              <w:t>Why AI matters for student-athletes now</w:t>
            </w:r>
          </w:p>
        </w:tc>
      </w:tr>
      <w:tr>
        <w:tc>
          <w:tcPr>
            <w:tcW w:type="dxa" w:w="518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sz w:val="18"/>
              </w:rPr>
              <w:t>15-25 minutes</w:t>
            </w:r>
          </w:p>
        </w:tc>
        <w:tc>
          <w:tcPr>
            <w:tcW w:type="dxa" w:w="518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sz w:val="18"/>
              </w:rPr>
              <w:t>Career readiness and life after sport</w:t>
            </w:r>
          </w:p>
        </w:tc>
      </w:tr>
      <w:tr>
        <w:tc>
          <w:tcPr>
            <w:tcW w:type="dxa" w:w="518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sz w:val="18"/>
              </w:rPr>
              <w:t>25-35 minutes</w:t>
            </w:r>
          </w:p>
        </w:tc>
        <w:tc>
          <w:tcPr>
            <w:tcW w:type="dxa" w:w="518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sz w:val="18"/>
              </w:rPr>
              <w:t>Personal brand, digital reputation, and NIL-era decisions</w:t>
            </w:r>
          </w:p>
        </w:tc>
      </w:tr>
      <w:tr>
        <w:tc>
          <w:tcPr>
            <w:tcW w:type="dxa" w:w="518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sz w:val="18"/>
              </w:rPr>
              <w:t>35-45 minutes</w:t>
            </w:r>
          </w:p>
        </w:tc>
        <w:tc>
          <w:tcPr>
            <w:tcW w:type="dxa" w:w="518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sz w:val="18"/>
              </w:rPr>
              <w:t>Guided worksheet activity</w:t>
            </w:r>
          </w:p>
        </w:tc>
      </w:tr>
      <w:tr>
        <w:tc>
          <w:tcPr>
            <w:tcW w:type="dxa" w:w="518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sz w:val="18"/>
              </w:rPr>
              <w:t>45-50 minutes</w:t>
            </w:r>
          </w:p>
        </w:tc>
        <w:tc>
          <w:tcPr>
            <w:tcW w:type="dxa" w:w="518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sz w:val="18"/>
              </w:rPr>
              <w:t>Final challenge, 30-day plan, and next steps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rial" w:hAnsi="Arial"/>
          <w:b/>
          <w:sz w:val="26"/>
        </w:rPr>
        <w:t>What Participants Receive</w:t>
      </w:r>
    </w:p>
    <w:p>
      <w:pPr>
        <w:pStyle w:val="ListBullet"/>
        <w:spacing w:before="0" w:after="40" w:line="240" w:lineRule="auto"/>
      </w:pPr>
      <w:r>
        <w:rPr>
          <w:rFonts w:ascii="Arial" w:hAnsi="Arial"/>
          <w:b w:val="0"/>
          <w:i w:val="0"/>
          <w:sz w:val="21"/>
        </w:rPr>
        <w:t>Participant workbook</w:t>
      </w:r>
    </w:p>
    <w:p>
      <w:pPr>
        <w:pStyle w:val="ListBullet"/>
        <w:spacing w:before="0" w:after="40" w:line="240" w:lineRule="auto"/>
      </w:pPr>
      <w:r>
        <w:rPr>
          <w:rFonts w:ascii="Arial" w:hAnsi="Arial"/>
          <w:b w:val="0"/>
          <w:i w:val="0"/>
          <w:sz w:val="21"/>
        </w:rPr>
        <w:t>Worksheet packet</w:t>
      </w:r>
    </w:p>
    <w:p>
      <w:pPr>
        <w:pStyle w:val="ListBullet"/>
        <w:spacing w:before="0" w:after="40" w:line="240" w:lineRule="auto"/>
      </w:pPr>
      <w:r>
        <w:rPr>
          <w:rFonts w:ascii="Arial" w:hAnsi="Arial"/>
          <w:b w:val="0"/>
          <w:i w:val="0"/>
          <w:sz w:val="21"/>
        </w:rPr>
        <w:t>AI prompt cheat sheet</w:t>
      </w:r>
    </w:p>
    <w:p>
      <w:pPr>
        <w:pStyle w:val="ListBullet"/>
        <w:spacing w:before="0" w:after="40" w:line="240" w:lineRule="auto"/>
      </w:pPr>
      <w:r>
        <w:rPr>
          <w:rFonts w:ascii="Arial" w:hAnsi="Arial"/>
          <w:b w:val="0"/>
          <w:i w:val="0"/>
          <w:sz w:val="21"/>
        </w:rPr>
        <w:t>Career Circle resource guide</w:t>
      </w:r>
    </w:p>
    <w:p>
      <w:pPr>
        <w:pStyle w:val="ListBullet"/>
        <w:spacing w:before="0" w:after="40" w:line="240" w:lineRule="auto"/>
      </w:pPr>
      <w:r>
        <w:rPr>
          <w:rFonts w:ascii="Arial" w:hAnsi="Arial"/>
          <w:b w:val="0"/>
          <w:i w:val="0"/>
          <w:sz w:val="21"/>
        </w:rPr>
        <w:t>30-day action plan</w:t>
      </w:r>
    </w:p>
    <w:p>
      <w:pPr>
        <w:pStyle w:val="ListBullet"/>
        <w:spacing w:before="0" w:after="40" w:line="240" w:lineRule="auto"/>
      </w:pPr>
      <w:r>
        <w:rPr>
          <w:rFonts w:ascii="Arial" w:hAnsi="Arial"/>
          <w:b w:val="0"/>
          <w:i w:val="0"/>
          <w:sz w:val="21"/>
        </w:rPr>
        <w:t>Certificate template</w:t>
      </w:r>
    </w:p>
    <w:p>
      <w:pPr>
        <w:pStyle w:val="Heading2"/>
        <w:keepNext/>
      </w:pPr>
      <w:r>
        <w:rPr>
          <w:rFonts w:ascii="Arial" w:hAnsi="Arial"/>
          <w:b/>
          <w:sz w:val="26"/>
        </w:rPr>
        <w:t>Speaker</w:t>
      </w:r>
    </w:p>
    <w:p>
      <w:pPr>
        <w:spacing w:before="0" w:after="80" w:line="252" w:lineRule="auto"/>
      </w:pPr>
      <w:r>
        <w:rPr>
          <w:rFonts w:ascii="Arial" w:hAnsi="Arial"/>
          <w:b/>
          <w:i w:val="0"/>
          <w:sz w:val="21"/>
        </w:rPr>
        <w:t>Lornette Daye</w:t>
      </w:r>
      <w:r>
        <w:rPr>
          <w:rFonts w:ascii="Arial" w:hAnsi="Arial"/>
          <w:b w:val="0"/>
          <w:i w:val="0"/>
          <w:sz w:val="21"/>
        </w:rPr>
        <w:t xml:space="preserve"> is the founder of UMATTR, a former elite sprinter, Canadian National Team athlete, coach, mentor, entrepreneur, and public speaker. Her message helps athletes finish strong, build confidence, and prepare for success beyond competition.</w:t>
      </w:r>
    </w:p>
    <w:p>
      <w:pPr>
        <w:pStyle w:val="Heading2"/>
        <w:keepNext/>
      </w:pPr>
      <w:r>
        <w:rPr>
          <w:rFonts w:ascii="Arial" w:hAnsi="Arial"/>
          <w:b/>
          <w:sz w:val="26"/>
        </w:rPr>
        <w:t>Booking Contact</w:t>
      </w:r>
    </w:p>
    <w:p>
      <w:pPr>
        <w:spacing w:before="0" w:after="80" w:line="252" w:lineRule="auto"/>
      </w:pPr>
      <w:r>
        <w:rPr>
          <w:rFonts w:ascii="Arial" w:hAnsi="Arial"/>
          <w:b w:val="0"/>
          <w:i w:val="0"/>
          <w:sz w:val="21"/>
        </w:rPr>
        <w:t xml:space="preserve">Email: </w:t>
      </w:r>
      <w:r>
        <w:rPr>
          <w:rFonts w:ascii="Arial" w:hAnsi="Arial"/>
          <w:b/>
          <w:i w:val="0"/>
          <w:sz w:val="21"/>
        </w:rPr>
        <w:t>[insert email]</w:t>
      </w:r>
      <w:r>
        <w:rPr>
          <w:rFonts w:ascii="Arial" w:hAnsi="Arial"/>
          <w:sz w:val="21"/>
        </w:rPr>
        <w:br/>
      </w:r>
      <w:r>
        <w:rPr>
          <w:rFonts w:ascii="Arial" w:hAnsi="Arial"/>
          <w:b w:val="0"/>
          <w:i w:val="0"/>
          <w:sz w:val="21"/>
        </w:rPr>
        <w:t xml:space="preserve">Phone: </w:t>
      </w:r>
      <w:r>
        <w:rPr>
          <w:rFonts w:ascii="Arial" w:hAnsi="Arial"/>
          <w:b/>
          <w:i w:val="0"/>
          <w:sz w:val="21"/>
        </w:rPr>
        <w:t>[insert phone]</w:t>
      </w:r>
      <w:r>
        <w:rPr>
          <w:rFonts w:ascii="Arial" w:hAnsi="Arial"/>
          <w:sz w:val="21"/>
        </w:rPr>
        <w:br/>
      </w:r>
      <w:r>
        <w:rPr>
          <w:rFonts w:ascii="Arial" w:hAnsi="Arial"/>
          <w:b w:val="0"/>
          <w:i w:val="0"/>
          <w:sz w:val="21"/>
        </w:rPr>
        <w:t xml:space="preserve">Website: </w:t>
      </w:r>
      <w:r>
        <w:rPr>
          <w:rFonts w:ascii="Arial" w:hAnsi="Arial"/>
          <w:b/>
          <w:i w:val="0"/>
          <w:sz w:val="21"/>
        </w:rPr>
        <w:t>www.umattr.ca</w:t>
      </w:r>
    </w:p>
    <w:p>
      <w:pPr>
        <w:spacing w:before="0" w:after="40" w:line="252" w:lineRule="auto"/>
        <w:jc w:val="center"/>
      </w:pPr>
      <w:r>
        <w:rPr>
          <w:rFonts w:ascii="Arial" w:hAnsi="Arial"/>
          <w:b w:val="0"/>
          <w:i w:val="0"/>
          <w:sz w:val="17"/>
        </w:rPr>
        <w:t>UMATTR | www.umattr.ca | Because you matter.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>UMATTR | www.umattr.ca | Because you matter.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