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19"/>
        </w:rPr>
        <w:t>UMATTR Career Circle</w:t>
      </w:r>
    </w:p>
    <w:p>
      <w:pPr>
        <w:pStyle w:val="Heading1"/>
        <w:spacing w:after="60"/>
        <w:jc w:val="center"/>
      </w:pPr>
      <w:r>
        <w:rPr>
          <w:rFonts w:ascii="Arial" w:hAnsi="Arial"/>
          <w:b/>
          <w:sz w:val="36"/>
        </w:rPr>
        <w:t>UMATTR Student-Athlete Consulting Offer Sheet</w:t>
      </w:r>
    </w:p>
    <w:p>
      <w:pPr>
        <w:spacing w:before="0" w:after="160" w:line="252" w:lineRule="auto"/>
        <w:jc w:val="center"/>
      </w:pPr>
      <w:r>
        <w:rPr>
          <w:rFonts w:ascii="Arial" w:hAnsi="Arial"/>
          <w:b w:val="0"/>
          <w:i/>
          <w:sz w:val="22"/>
        </w:rPr>
        <w:t>Life, career, AI education, personal brand, and transition support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Overview</w:t>
      </w:r>
    </w:p>
    <w:p>
      <w:pPr>
        <w:spacing w:before="0" w:after="80" w:line="252" w:lineRule="auto"/>
      </w:pPr>
      <w:r>
        <w:rPr>
          <w:rFonts w:ascii="Arial" w:hAnsi="Arial"/>
          <w:b w:val="0"/>
          <w:i w:val="0"/>
          <w:sz w:val="21"/>
        </w:rPr>
        <w:t>UMATTR provides speaking, workshop, and consulting services to help student-athletes build confidence, career readiness, responsible AI habits, personal brand clarity, and life-after-sport preparation.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Core Offer: 50-Minute Workshop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Live workshop through UMATTR Career Circle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Participant workbook and worksheet packet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AI prompt cheat sheet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30-day action plan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Optional certificate of completion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Three-Part Series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EDED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Session</w:t>
            </w:r>
          </w:p>
        </w:tc>
        <w:tc>
          <w:tcPr>
            <w:tcW w:type="dxa" w:w="3456"/>
            <w:vAlign w:val="top"/>
            <w:shd w:fill="EDED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Topic</w:t>
            </w:r>
          </w:p>
        </w:tc>
        <w:tc>
          <w:tcPr>
            <w:tcW w:type="dxa" w:w="3456"/>
            <w:vAlign w:val="top"/>
            <w:shd w:fill="EDEDED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Outcome</w:t>
            </w:r>
          </w:p>
        </w:tc>
      </w:tr>
      <w:tr>
        <w:tc>
          <w:tcPr>
            <w:tcW w:type="dxa" w:w="345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45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AI for Student-Athlete Career Readiness</w:t>
            </w:r>
          </w:p>
        </w:tc>
        <w:tc>
          <w:tcPr>
            <w:tcW w:type="dxa" w:w="345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Safe, practical AI workflows</w:t>
            </w:r>
          </w:p>
        </w:tc>
      </w:tr>
      <w:tr>
        <w:tc>
          <w:tcPr>
            <w:tcW w:type="dxa" w:w="345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45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Personal Brand, Digital Reputation, and NIL-Era Decisions</w:t>
            </w:r>
          </w:p>
        </w:tc>
        <w:tc>
          <w:tcPr>
            <w:tcW w:type="dxa" w:w="345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Clear brand and reputation plan</w:t>
            </w:r>
          </w:p>
        </w:tc>
      </w:tr>
      <w:tr>
        <w:tc>
          <w:tcPr>
            <w:tcW w:type="dxa" w:w="345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45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Life After Sport and Transferable Skills</w:t>
            </w:r>
          </w:p>
        </w:tc>
        <w:tc>
          <w:tcPr>
            <w:tcW w:type="dxa" w:w="345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sz w:val="18"/>
              </w:rPr>
              <w:t>Career action plan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rial" w:hAnsi="Arial"/>
          <w:b/>
          <w:sz w:val="26"/>
        </w:rPr>
        <w:t>Semester Consulting Package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Monthly live workshops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Group coaching and office hours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Staff planning call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Customized worksheets and follow-up resources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sz w:val="21"/>
        </w:rPr>
        <w:t>End-of-program summary report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Staff and Coach Briefing</w:t>
      </w:r>
    </w:p>
    <w:p>
      <w:pPr>
        <w:spacing w:before="0" w:after="80" w:line="252" w:lineRule="auto"/>
      </w:pPr>
      <w:r>
        <w:rPr>
          <w:rFonts w:ascii="Arial" w:hAnsi="Arial"/>
          <w:b w:val="0"/>
          <w:i w:val="0"/>
          <w:sz w:val="21"/>
        </w:rPr>
        <w:t>A 45-60 minute session for athletics staff on how to support student-athletes with AI use, personal brand, career transition, boundaries, and referral-friendly support.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Important Boundaries</w:t>
      </w:r>
    </w:p>
    <w:p>
      <w:pPr>
        <w:spacing w:before="0" w:after="80" w:line="252" w:lineRule="auto"/>
      </w:pPr>
      <w:r>
        <w:rPr>
          <w:rFonts w:ascii="Arial" w:hAnsi="Arial"/>
          <w:b w:val="0"/>
          <w:i w:val="0"/>
          <w:sz w:val="21"/>
        </w:rPr>
        <w:t>UMATTR provides education, coaching, and practical development support. UMATTR does not provide clinical mental-health treatment, legal advice, tax advice, or academic-integrity adjudication.</w:t>
      </w:r>
    </w:p>
    <w:p>
      <w:pPr>
        <w:pStyle w:val="Heading2"/>
        <w:keepNext/>
      </w:pPr>
      <w:r>
        <w:rPr>
          <w:rFonts w:ascii="Arial" w:hAnsi="Arial"/>
          <w:b/>
          <w:sz w:val="26"/>
        </w:rPr>
        <w:t>Next Step</w:t>
      </w:r>
    </w:p>
    <w:p>
      <w:pPr>
        <w:spacing w:before="0" w:after="80" w:line="252" w:lineRule="auto"/>
      </w:pPr>
      <w:r>
        <w:rPr>
          <w:rFonts w:ascii="Arial" w:hAnsi="Arial"/>
          <w:b w:val="0"/>
          <w:i w:val="0"/>
          <w:sz w:val="21"/>
        </w:rPr>
        <w:t>Contact UMATTR to discuss a pilot workshop, team session, or semester partnership.</w:t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 w:val="0"/>
          <w:sz w:val="17"/>
        </w:rPr>
        <w:t>UMATTR | www.umattr.ca | Because you matter.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UMATTR | www.umattr.ca | Because you matter.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