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drawing>
          <wp:inline xmlns:a="http://schemas.openxmlformats.org/drawingml/2006/main" xmlns:pic="http://schemas.openxmlformats.org/drawingml/2006/picture">
            <wp:extent cx="566928" cy="739504"/>
            <wp:docPr id="1" name="Picture 1" descr="UMATTR gold logo"/>
            <wp:cNvGraphicFramePr>
              <a:graphicFrameLocks noChangeAspect="1"/>
            </wp:cNvGraphicFramePr>
            <a:graphic>
              <a:graphicData uri="http://schemas.openxmlformats.org/drawingml/2006/picture">
                <pic:pic>
                  <pic:nvPicPr>
                    <pic:cNvPr id="0" name="umattr_gold_logo.png"/>
                    <pic:cNvPicPr/>
                  </pic:nvPicPr>
                  <pic:blipFill>
                    <a:blip r:embed="rId10"/>
                    <a:stretch>
                      <a:fillRect/>
                    </a:stretch>
                  </pic:blipFill>
                  <pic:spPr>
                    <a:xfrm>
                      <a:off x="0" y="0"/>
                      <a:ext cx="566928" cy="739504"/>
                    </a:xfrm>
                    <a:prstGeom prst="rect"/>
                  </pic:spPr>
                </pic:pic>
              </a:graphicData>
            </a:graphic>
          </wp:inline>
        </w:drawing>
      </w:r>
    </w:p>
    <w:p>
      <w:pPr>
        <w:spacing w:before="0" w:after="20" w:line="252" w:lineRule="auto"/>
        <w:jc w:val="center"/>
      </w:pPr>
      <w:r>
        <w:rPr>
          <w:rFonts w:ascii="Aptos" w:hAnsi="Aptos"/>
          <w:b/>
          <w:i w:val="0"/>
          <w:color w:val="B98B3F"/>
          <w:sz w:val="17"/>
        </w:rPr>
        <w:t>CANDIDATE PRE-SCREENING</w:t>
      </w:r>
    </w:p>
    <w:p>
      <w:pPr>
        <w:spacing w:before="0" w:after="20" w:line="252" w:lineRule="auto"/>
        <w:jc w:val="center"/>
      </w:pPr>
      <w:r>
        <w:rPr>
          <w:rFonts w:ascii="Georgia" w:hAnsi="Georgia"/>
          <w:b w:val="0"/>
          <w:i w:val="0"/>
          <w:color w:val="24262B"/>
          <w:sz w:val="42"/>
        </w:rPr>
        <w:t>Japan Athlete Partnerships Coordinator</w:t>
      </w:r>
    </w:p>
    <w:p>
      <w:pPr>
        <w:spacing w:before="0" w:after="160" w:line="252" w:lineRule="auto"/>
        <w:jc w:val="center"/>
      </w:pPr>
      <w:r>
        <w:rPr>
          <w:rFonts w:ascii="Aptos" w:hAnsi="Aptos"/>
          <w:b/>
          <w:i w:val="0"/>
          <w:color w:val="B98B3F"/>
          <w:sz w:val="24"/>
        </w:rPr>
        <w:t>Short Pre-Screening Questionnaire</w:t>
      </w:r>
    </w:p>
    <w:tbl>
      <w:tblPr>
        <w:tblW w:type="auto" w:w="0"/>
        <w:jc w:val="center"/>
        <w:tblLayout w:type="fixed"/>
        <w:tblLook w:firstColumn="1" w:firstRow="1" w:lastColumn="0" w:lastRow="0" w:noHBand="0" w:noVBand="1" w:val="04A0"/>
      </w:tblPr>
      <w:tblGrid>
        <w:gridCol w:w="2160"/>
        <w:gridCol w:w="7488"/>
      </w:tblGrid>
      <w:tr>
        <w:tc>
          <w:tcPr>
            <w:tcW w:type="dxa" w:w="5112"/>
            <w:tcBorders>
              <w:top w:val="single" w:sz="6" w:space="0" w:color="B98B3F"/>
              <w:left w:val="single" w:sz="6" w:space="0" w:color="B98B3F"/>
              <w:bottom w:val="single" w:sz="6" w:space="0" w:color="B98B3F"/>
              <w:right w:val="single" w:sz="6" w:space="0" w:color="B98B3F"/>
              <w:insideH w:val="single" w:sz="6" w:space="0" w:color="B98B3F"/>
              <w:insideV w:val="single" w:sz="6" w:space="0" w:color="B98B3F"/>
            </w:tcBorders>
            <w:shd w:fill="FBF8F0"/>
            <w:tcMar>
              <w:top w:w="80" w:type="dxa"/>
              <w:start w:w="110" w:type="dxa"/>
              <w:bottom w:w="80" w:type="dxa"/>
              <w:end w:w="110" w:type="dxa"/>
            </w:tcMar>
            <w:vAlign w:val="center"/>
          </w:tcPr>
          <w:p>
            <w:pPr>
              <w:spacing w:before="0" w:after="0" w:line="252" w:lineRule="auto"/>
            </w:pPr>
            <w:r>
              <w:rPr>
                <w:rFonts w:ascii="Aptos" w:hAnsi="Aptos"/>
                <w:b/>
                <w:i w:val="0"/>
                <w:color w:val="24262B"/>
                <w:sz w:val="18"/>
              </w:rPr>
              <w:t>Candidate</w:t>
            </w:r>
          </w:p>
        </w:tc>
        <w:tc>
          <w:tcPr>
            <w:tcW w:type="dxa" w:w="5112"/>
            <w:tcBorders>
              <w:top w:val="single" w:sz="6" w:space="0" w:color="B98B3F"/>
              <w:left w:val="single" w:sz="6" w:space="0" w:color="B98B3F"/>
              <w:bottom w:val="single" w:sz="6" w:space="0" w:color="B98B3F"/>
              <w:right w:val="single" w:sz="6" w:space="0" w:color="B98B3F"/>
              <w:insideH w:val="single" w:sz="6" w:space="0" w:color="B98B3F"/>
              <w:insideV w:val="single" w:sz="6" w:space="0" w:color="B98B3F"/>
            </w:tcBorders>
            <w:shd w:fill="FBF8F0"/>
            <w:tcMar>
              <w:top w:w="80" w:type="dxa"/>
              <w:start w:w="110" w:type="dxa"/>
              <w:bottom w:w="80" w:type="dxa"/>
              <w:end w:w="110" w:type="dxa"/>
            </w:tcMar>
            <w:vAlign w:val="center"/>
          </w:tcPr>
          <w:p>
            <w:r/>
          </w:p>
        </w:tc>
      </w:tr>
      <w:tr>
        <w:tc>
          <w:tcPr>
            <w:tcW w:type="dxa" w:w="5112"/>
            <w:tcBorders>
              <w:top w:val="single" w:sz="6" w:space="0" w:color="B98B3F"/>
              <w:left w:val="single" w:sz="6" w:space="0" w:color="B98B3F"/>
              <w:bottom w:val="single" w:sz="6" w:space="0" w:color="B98B3F"/>
              <w:right w:val="single" w:sz="6" w:space="0" w:color="B98B3F"/>
              <w:insideH w:val="single" w:sz="6" w:space="0" w:color="B98B3F"/>
              <w:insideV w:val="single" w:sz="6" w:space="0" w:color="B98B3F"/>
            </w:tcBorders>
            <w:shd w:fill="FBF8F0"/>
            <w:tcMar>
              <w:top w:w="80" w:type="dxa"/>
              <w:start w:w="110" w:type="dxa"/>
              <w:bottom w:w="80" w:type="dxa"/>
              <w:end w:w="110" w:type="dxa"/>
            </w:tcMar>
            <w:vAlign w:val="center"/>
          </w:tcPr>
          <w:p>
            <w:pPr>
              <w:spacing w:before="0" w:after="0" w:line="252" w:lineRule="auto"/>
            </w:pPr>
            <w:r>
              <w:rPr>
                <w:rFonts w:ascii="Aptos" w:hAnsi="Aptos"/>
                <w:b/>
                <w:i w:val="0"/>
                <w:color w:val="24262B"/>
                <w:sz w:val="18"/>
              </w:rPr>
              <w:t>Date completed</w:t>
            </w:r>
          </w:p>
        </w:tc>
        <w:tc>
          <w:tcPr>
            <w:tcW w:type="dxa" w:w="5112"/>
            <w:tcBorders>
              <w:top w:val="single" w:sz="6" w:space="0" w:color="B98B3F"/>
              <w:left w:val="single" w:sz="6" w:space="0" w:color="B98B3F"/>
              <w:bottom w:val="single" w:sz="6" w:space="0" w:color="B98B3F"/>
              <w:right w:val="single" w:sz="6" w:space="0" w:color="B98B3F"/>
              <w:insideH w:val="single" w:sz="6" w:space="0" w:color="B98B3F"/>
              <w:insideV w:val="single" w:sz="6" w:space="0" w:color="B98B3F"/>
            </w:tcBorders>
            <w:shd w:fill="FBF8F0"/>
            <w:tcMar>
              <w:top w:w="80" w:type="dxa"/>
              <w:start w:w="110" w:type="dxa"/>
              <w:bottom w:w="80" w:type="dxa"/>
              <w:end w:w="110" w:type="dxa"/>
            </w:tcMar>
            <w:vAlign w:val="center"/>
          </w:tcPr>
          <w:p>
            <w:r/>
          </w:p>
        </w:tc>
      </w:tr>
    </w:tbl>
    <w:p>
      <w:pPr>
        <w:spacing w:after="20"/>
      </w:pPr>
    </w:p>
    <w:p>
      <w:pPr>
        <w:spacing w:before="0" w:after="120" w:line="252" w:lineRule="auto"/>
        <w:jc w:val="center"/>
      </w:pPr>
      <w:r>
        <w:rPr>
          <w:rFonts w:ascii="Aptos" w:hAnsi="Aptos"/>
          <w:b w:val="0"/>
          <w:i/>
          <w:color w:val="666A70"/>
          <w:sz w:val="18"/>
        </w:rPr>
        <w:t>Primary focus: athlete, club, academy, university and sports-organization relationships in Japan</w:t>
      </w:r>
    </w:p>
    <w:tbl>
      <w:tblPr>
        <w:tblW w:type="auto" w:w="0"/>
        <w:jc w:val="center"/>
        <w:tblLayout w:type="fixed"/>
        <w:tblLook w:firstColumn="1" w:firstRow="1" w:lastColumn="0" w:lastRow="0" w:noHBand="0" w:noVBand="1" w:val="04A0"/>
      </w:tblPr>
      <w:tblGrid>
        <w:gridCol w:w="10224"/>
      </w:tblGrid>
      <w:t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shd w:fill="FBF8F0"/>
            <w:tcMar>
              <w:top w:w="120" w:type="dxa"/>
              <w:start w:w="150" w:type="dxa"/>
              <w:bottom w:w="120" w:type="dxa"/>
              <w:end w:w="150" w:type="dxa"/>
            </w:tcMar>
          </w:tcPr>
          <w:p>
            <w:pPr>
              <w:spacing w:before="0" w:after="40" w:line="252" w:lineRule="auto"/>
            </w:pPr>
            <w:r>
              <w:rPr>
                <w:rFonts w:ascii="Aptos" w:hAnsi="Aptos"/>
                <w:b/>
                <w:i w:val="0"/>
                <w:color w:val="B98B3F"/>
                <w:sz w:val="18"/>
              </w:rPr>
              <w:t>A NOTE BEFORE YOU BEGIN</w:t>
            </w:r>
          </w:p>
          <w:p>
            <w:pPr>
              <w:spacing w:before="0" w:after="0" w:line="252" w:lineRule="auto"/>
            </w:pPr>
            <w:r>
              <w:rPr>
                <w:rFonts w:ascii="Aptos" w:hAnsi="Aptos"/>
                <w:b w:val="0"/>
                <w:i w:val="0"/>
                <w:color w:val="24262B"/>
                <w:sz w:val="19"/>
              </w:rPr>
              <w:t>Brief, natural responses are welcome. We are interested in how you think, communicate and build relationships; there is no single correct answer.</w:t>
            </w:r>
          </w:p>
        </w:tc>
      </w:tr>
    </w:tbl>
    <w:p>
      <w:pPr>
        <w:spacing w:after="40"/>
      </w:pPr>
    </w:p>
    <w:p>
      <w:pPr>
        <w:spacing w:before="20" w:after="40" w:line="252" w:lineRule="auto"/>
      </w:pPr>
      <w:r>
        <w:rPr>
          <w:rFonts w:ascii="Georgia" w:hAnsi="Georgia"/>
          <w:b w:val="0"/>
          <w:i w:val="0"/>
          <w:color w:val="24262B"/>
          <w:sz w:val="26"/>
        </w:rPr>
        <w:t>1. Connection to Japan</w:t>
      </w:r>
    </w:p>
    <w:p>
      <w:pPr>
        <w:spacing w:before="0" w:after="40" w:line="259" w:lineRule="auto"/>
      </w:pPr>
      <w:r>
        <w:rPr>
          <w:rFonts w:ascii="Aptos" w:hAnsi="Aptos"/>
          <w:b w:val="0"/>
          <w:i w:val="0"/>
          <w:color w:val="24262B"/>
          <w:sz w:val="21"/>
        </w:rPr>
        <w:t>Tell us about your connection to Japan and the experience that has best prepared you to work with Japanese athletes, clubs, universities or sports organizations.</w:t>
      </w:r>
    </w:p>
    <w:p>
      <w:pPr>
        <w:spacing w:before="0" w:after="80" w:line="252" w:lineRule="auto"/>
      </w:pPr>
      <w:r>
        <w:rPr>
          <w:rFonts w:ascii="Aptos" w:hAnsi="Aptos"/>
          <w:b w:val="0"/>
          <w:i/>
          <w:color w:val="666A70"/>
          <w:sz w:val="18"/>
        </w:rPr>
        <w:t>This can include work, study, language learning, community involvement or personal experience. What have you learned about communicating and building trust in Japan?</w:t>
      </w:r>
    </w:p>
    <w:tbl>
      <w:tblPr>
        <w:tblW w:type="auto" w:w="0"/>
        <w:jc w:val="center"/>
        <w:tblLayout w:type="fixed"/>
        <w:tblLook w:firstColumn="1" w:firstRow="1" w:lastColumn="0" w:lastRow="0" w:noHBand="0" w:noVBand="1" w:val="04A0"/>
      </w:tblPr>
      <w:tblGrid>
        <w:gridCol w:w="10080"/>
      </w:tblGrid>
      <w:tr>
        <w:trPr>
          <w:trHeight w:val="1944"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pPr>
        <w:spacing w:before="20" w:after="40" w:line="252" w:lineRule="auto"/>
      </w:pPr>
      <w:r>
        <w:rPr>
          <w:rFonts w:ascii="Georgia" w:hAnsi="Georgia"/>
          <w:b w:val="0"/>
          <w:i w:val="0"/>
          <w:color w:val="24262B"/>
          <w:sz w:val="26"/>
        </w:rPr>
        <w:t>2. Sports Background, Knowledge and Interests</w:t>
      </w:r>
    </w:p>
    <w:p>
      <w:pPr>
        <w:spacing w:before="0" w:after="40" w:line="259" w:lineRule="auto"/>
      </w:pPr>
      <w:r>
        <w:rPr>
          <w:rFonts w:ascii="Aptos" w:hAnsi="Aptos"/>
          <w:b w:val="0"/>
          <w:i w:val="0"/>
          <w:color w:val="24262B"/>
          <w:sz w:val="21"/>
        </w:rPr>
        <w:t>What sports are you most familiar with or personally interested in, and what experience or knowledge do you have of athletes, teams, clubs, university sport, academies or the wider sports industry?</w:t>
      </w:r>
    </w:p>
    <w:p>
      <w:pPr>
        <w:spacing w:before="0" w:after="80" w:line="252" w:lineRule="auto"/>
      </w:pPr>
      <w:r>
        <w:rPr>
          <w:rFonts w:ascii="Aptos" w:hAnsi="Aptos"/>
          <w:b w:val="0"/>
          <w:i/>
          <w:color w:val="666A70"/>
          <w:sz w:val="18"/>
        </w:rPr>
        <w:t>Formal sports-industry experience is not required. We are also interested in personal involvement, volunteering, research, following particular leagues or sports, or other relevant exposure.</w:t>
      </w:r>
    </w:p>
    <w:tbl>
      <w:tblPr>
        <w:tblW w:type="auto" w:w="0"/>
        <w:jc w:val="center"/>
        <w:tblLayout w:type="fixed"/>
        <w:tblLook w:firstColumn="1" w:firstRow="1" w:lastColumn="0" w:lastRow="0" w:noHBand="0" w:noVBand="1" w:val="04A0"/>
      </w:tblPr>
      <w:tblGrid>
        <w:gridCol w:w="10080"/>
      </w:tblGrid>
      <w:tr>
        <w:trPr>
          <w:trHeight w:val="1944"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pPr>
        <w:spacing w:before="0" w:after="40" w:line="252" w:lineRule="auto"/>
        <w:jc w:val="center"/>
      </w:pPr>
      <w:r>
        <w:drawing>
          <wp:inline xmlns:a="http://schemas.openxmlformats.org/drawingml/2006/main" xmlns:pic="http://schemas.openxmlformats.org/drawingml/2006/picture">
            <wp:extent cx="566928" cy="739504"/>
            <wp:docPr id="2" name="Picture 2" descr="UMATTR gold logo"/>
            <wp:cNvGraphicFramePr>
              <a:graphicFrameLocks noChangeAspect="1"/>
            </wp:cNvGraphicFramePr>
            <a:graphic>
              <a:graphicData uri="http://schemas.openxmlformats.org/drawingml/2006/picture">
                <pic:pic>
                  <pic:nvPicPr>
                    <pic:cNvPr id="0" name="umattr_gold_logo.png"/>
                    <pic:cNvPicPr/>
                  </pic:nvPicPr>
                  <pic:blipFill>
                    <a:blip r:embed="rId10"/>
                    <a:stretch>
                      <a:fillRect/>
                    </a:stretch>
                  </pic:blipFill>
                  <pic:spPr>
                    <a:xfrm>
                      <a:off x="0" y="0"/>
                      <a:ext cx="566928" cy="739504"/>
                    </a:xfrm>
                    <a:prstGeom prst="rect"/>
                  </pic:spPr>
                </pic:pic>
              </a:graphicData>
            </a:graphic>
          </wp:inline>
        </w:drawing>
      </w:r>
    </w:p>
    <w:p>
      <w:pPr>
        <w:spacing w:before="0" w:after="40" w:line="252" w:lineRule="auto"/>
        <w:jc w:val="center"/>
      </w:pPr>
      <w:r>
        <w:rPr>
          <w:rFonts w:ascii="Georgia" w:hAnsi="Georgia"/>
          <w:b w:val="0"/>
          <w:i w:val="0"/>
          <w:color w:val="24262B"/>
          <w:sz w:val="34"/>
        </w:rPr>
        <w:t>Partnership Research and Outreach</w:t>
      </w:r>
    </w:p>
    <w:p>
      <w:pPr>
        <w:spacing w:before="0" w:after="160" w:line="252" w:lineRule="auto"/>
        <w:jc w:val="center"/>
      </w:pPr>
      <w:r>
        <w:rPr>
          <w:rFonts w:ascii="Aptos" w:hAnsi="Aptos"/>
          <w:b w:val="0"/>
          <w:i/>
          <w:color w:val="666A70"/>
          <w:sz w:val="19"/>
        </w:rPr>
        <w:t>We want to understand how you would identify opportunities and make a thoughtful first approach.</w:t>
      </w:r>
    </w:p>
    <w:p>
      <w:pPr>
        <w:spacing w:before="20" w:after="40" w:line="252" w:lineRule="auto"/>
      </w:pPr>
      <w:r>
        <w:rPr>
          <w:rFonts w:ascii="Georgia" w:hAnsi="Georgia"/>
          <w:b w:val="0"/>
          <w:i w:val="0"/>
          <w:color w:val="24262B"/>
          <w:sz w:val="26"/>
        </w:rPr>
        <w:t>3. Finding the Right Partners</w:t>
      </w:r>
    </w:p>
    <w:p>
      <w:pPr>
        <w:spacing w:before="0" w:after="40" w:line="259" w:lineRule="auto"/>
      </w:pPr>
      <w:r>
        <w:rPr>
          <w:rFonts w:ascii="Aptos" w:hAnsi="Aptos"/>
          <w:b w:val="0"/>
          <w:i w:val="0"/>
          <w:color w:val="24262B"/>
          <w:sz w:val="21"/>
        </w:rPr>
        <w:t>If UMATTR asked you to identify our first five realistic athlete or sports-organization relationships in Japan, how would you decide who to approach first?</w:t>
      </w:r>
    </w:p>
    <w:p>
      <w:pPr>
        <w:spacing w:before="0" w:after="80" w:line="252" w:lineRule="auto"/>
      </w:pPr>
      <w:r>
        <w:rPr>
          <w:rFonts w:ascii="Aptos" w:hAnsi="Aptos"/>
          <w:b w:val="0"/>
          <w:i/>
          <w:color w:val="666A70"/>
          <w:sz w:val="18"/>
        </w:rPr>
        <w:t>Walk us through the types of athletes, clubs, university programmes, academies or organizations you would research, and what would make a potential relationship a good fit.</w:t>
      </w:r>
    </w:p>
    <w:tbl>
      <w:tblPr>
        <w:tblW w:type="auto" w:w="0"/>
        <w:jc w:val="center"/>
        <w:tblLayout w:type="fixed"/>
        <w:tblLook w:firstColumn="1" w:firstRow="1" w:lastColumn="0" w:lastRow="0" w:noHBand="0" w:noVBand="1" w:val="04A0"/>
      </w:tblPr>
      <w:tblGrid>
        <w:gridCol w:w="10080"/>
      </w:tblGrid>
      <w:tr>
        <w:trPr>
          <w:trHeight w:val="2951"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pPr>
        <w:spacing w:before="20" w:after="40" w:line="252" w:lineRule="auto"/>
      </w:pPr>
      <w:r>
        <w:rPr>
          <w:rFonts w:ascii="Georgia" w:hAnsi="Georgia"/>
          <w:b w:val="0"/>
          <w:i w:val="0"/>
          <w:color w:val="24262B"/>
          <w:sz w:val="26"/>
        </w:rPr>
        <w:t>4. First Outreach</w:t>
      </w:r>
    </w:p>
    <w:p>
      <w:pPr>
        <w:spacing w:before="0" w:after="40" w:line="259" w:lineRule="auto"/>
      </w:pPr>
      <w:r>
        <w:rPr>
          <w:rFonts w:ascii="Aptos" w:hAnsi="Aptos"/>
          <w:b w:val="0"/>
          <w:i w:val="0"/>
          <w:color w:val="24262B"/>
          <w:sz w:val="21"/>
        </w:rPr>
        <w:t>Imagine you are making first contact with a Japanese university sports programme or club that has never heard of UMATTR. How would you approach the introduction?</w:t>
      </w:r>
    </w:p>
    <w:p>
      <w:pPr>
        <w:spacing w:before="0" w:after="80" w:line="252" w:lineRule="auto"/>
      </w:pPr>
      <w:r>
        <w:rPr>
          <w:rFonts w:ascii="Aptos" w:hAnsi="Aptos"/>
          <w:b w:val="0"/>
          <w:i/>
          <w:color w:val="666A70"/>
          <w:sz w:val="18"/>
        </w:rPr>
        <w:t>Please describe how you would prepare the outreach, who you would try to contact, how you would adapt the message for Japanese professional expectations, and how you would follow up without being pushy.</w:t>
      </w:r>
    </w:p>
    <w:tbl>
      <w:tblPr>
        <w:tblW w:type="auto" w:w="0"/>
        <w:jc w:val="center"/>
        <w:tblLayout w:type="fixed"/>
        <w:tblLook w:firstColumn="1" w:firstRow="1" w:lastColumn="0" w:lastRow="0" w:noHBand="0" w:noVBand="1" w:val="04A0"/>
      </w:tblPr>
      <w:tblGrid>
        <w:gridCol w:w="10080"/>
      </w:tblGrid>
      <w:tr>
        <w:trPr>
          <w:trHeight w:val="2880"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r>
        <w:br w:type="page"/>
      </w:r>
    </w:p>
    <w:p>
      <w:pPr>
        <w:spacing w:before="0" w:after="40" w:line="252" w:lineRule="auto"/>
        <w:jc w:val="center"/>
      </w:pPr>
      <w:r>
        <w:drawing>
          <wp:inline xmlns:a="http://schemas.openxmlformats.org/drawingml/2006/main" xmlns:pic="http://schemas.openxmlformats.org/drawingml/2006/picture">
            <wp:extent cx="566928" cy="739504"/>
            <wp:docPr id="3" name="Picture 3" descr="UMATTR gold logo"/>
            <wp:cNvGraphicFramePr>
              <a:graphicFrameLocks noChangeAspect="1"/>
            </wp:cNvGraphicFramePr>
            <a:graphic>
              <a:graphicData uri="http://schemas.openxmlformats.org/drawingml/2006/picture">
                <pic:pic>
                  <pic:nvPicPr>
                    <pic:cNvPr id="0" name="umattr_gold_logo.png"/>
                    <pic:cNvPicPr/>
                  </pic:nvPicPr>
                  <pic:blipFill>
                    <a:blip r:embed="rId10"/>
                    <a:stretch>
                      <a:fillRect/>
                    </a:stretch>
                  </pic:blipFill>
                  <pic:spPr>
                    <a:xfrm>
                      <a:off x="0" y="0"/>
                      <a:ext cx="566928" cy="739504"/>
                    </a:xfrm>
                    <a:prstGeom prst="rect"/>
                  </pic:spPr>
                </pic:pic>
              </a:graphicData>
            </a:graphic>
          </wp:inline>
        </w:drawing>
      </w:r>
    </w:p>
    <w:p>
      <w:pPr>
        <w:spacing w:before="0" w:after="40" w:line="252" w:lineRule="auto"/>
        <w:jc w:val="center"/>
      </w:pPr>
      <w:r>
        <w:rPr>
          <w:rFonts w:ascii="Georgia" w:hAnsi="Georgia"/>
          <w:b w:val="0"/>
          <w:i w:val="0"/>
          <w:color w:val="24262B"/>
          <w:sz w:val="34"/>
        </w:rPr>
        <w:t>Coordination and Professional Judgment</w:t>
      </w:r>
    </w:p>
    <w:p>
      <w:pPr>
        <w:spacing w:before="0" w:after="160" w:line="252" w:lineRule="auto"/>
        <w:jc w:val="center"/>
      </w:pPr>
      <w:r>
        <w:rPr>
          <w:rFonts w:ascii="Aptos" w:hAnsi="Aptos"/>
          <w:b w:val="0"/>
          <w:i/>
          <w:color w:val="666A70"/>
          <w:sz w:val="19"/>
        </w:rPr>
        <w:t>These questions focus on trust, communication and how you handle situations involving several stakeholders.</w:t>
      </w:r>
    </w:p>
    <w:p>
      <w:pPr>
        <w:spacing w:before="20" w:after="40" w:line="252" w:lineRule="auto"/>
      </w:pPr>
      <w:r>
        <w:rPr>
          <w:rFonts w:ascii="Georgia" w:hAnsi="Georgia"/>
          <w:b w:val="0"/>
          <w:i w:val="0"/>
          <w:color w:val="24262B"/>
          <w:sz w:val="26"/>
        </w:rPr>
        <w:t>5. Cross-Cultural Coordination</w:t>
      </w:r>
    </w:p>
    <w:p>
      <w:pPr>
        <w:spacing w:before="0" w:after="40" w:line="259" w:lineRule="auto"/>
      </w:pPr>
      <w:r>
        <w:rPr>
          <w:rFonts w:ascii="Aptos" w:hAnsi="Aptos"/>
          <w:b w:val="0"/>
          <w:i w:val="0"/>
          <w:color w:val="24262B"/>
          <w:sz w:val="21"/>
        </w:rPr>
        <w:t>Tell us about a time you had to coordinate people or organizations with different backgrounds, priorities or communication styles.</w:t>
      </w:r>
    </w:p>
    <w:p>
      <w:pPr>
        <w:spacing w:before="0" w:after="80" w:line="252" w:lineRule="auto"/>
      </w:pPr>
      <w:r>
        <w:rPr>
          <w:rFonts w:ascii="Aptos" w:hAnsi="Aptos"/>
          <w:b w:val="0"/>
          <w:i/>
          <w:color w:val="666A70"/>
          <w:sz w:val="18"/>
        </w:rPr>
        <w:t>What was your role, what became difficult, and what did you personally do to keep the relationship or project moving forward?</w:t>
      </w:r>
    </w:p>
    <w:tbl>
      <w:tblPr>
        <w:tblW w:type="auto" w:w="0"/>
        <w:jc w:val="center"/>
        <w:tblLayout w:type="fixed"/>
        <w:tblLook w:firstColumn="1" w:firstRow="1" w:lastColumn="0" w:lastRow="0" w:noHBand="0" w:noVBand="1" w:val="04A0"/>
      </w:tblPr>
      <w:tblGrid>
        <w:gridCol w:w="10080"/>
      </w:tblGrid>
      <w:tr>
        <w:trPr>
          <w:trHeight w:val="2951"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pPr>
        <w:spacing w:before="20" w:after="40" w:line="252" w:lineRule="auto"/>
      </w:pPr>
      <w:r>
        <w:rPr>
          <w:rFonts w:ascii="Georgia" w:hAnsi="Georgia"/>
          <w:b w:val="0"/>
          <w:i w:val="0"/>
          <w:color w:val="24262B"/>
          <w:sz w:val="26"/>
        </w:rPr>
        <w:t>6. Athlete Trust and Permissions</w:t>
      </w:r>
    </w:p>
    <w:p>
      <w:pPr>
        <w:spacing w:before="0" w:after="40" w:line="259" w:lineRule="auto"/>
      </w:pPr>
      <w:r>
        <w:rPr>
          <w:rFonts w:ascii="Aptos" w:hAnsi="Aptos"/>
          <w:b w:val="0"/>
          <w:i w:val="0"/>
          <w:color w:val="24262B"/>
          <w:sz w:val="21"/>
        </w:rPr>
        <w:t>An athlete is interested in sharing their story with UMATTR, but their manager, club or organization has not yet confirmed what can be made public. What would you do next?</w:t>
      </w:r>
    </w:p>
    <w:p>
      <w:pPr>
        <w:spacing w:before="0" w:after="80" w:line="252" w:lineRule="auto"/>
      </w:pPr>
      <w:r>
        <w:rPr>
          <w:rFonts w:ascii="Aptos" w:hAnsi="Aptos"/>
          <w:b w:val="0"/>
          <w:i/>
          <w:color w:val="666A70"/>
          <w:sz w:val="18"/>
        </w:rPr>
        <w:t>We are interested in your judgment around permissions, privacy, accuracy and maintaining trust. Please also tell us how comfortable you are handling professional follow-up in Japanese and English.</w:t>
      </w:r>
    </w:p>
    <w:tbl>
      <w:tblPr>
        <w:tblW w:type="auto" w:w="0"/>
        <w:jc w:val="center"/>
        <w:tblLayout w:type="fixed"/>
        <w:tblLook w:firstColumn="1" w:firstRow="1" w:lastColumn="0" w:lastRow="0" w:noHBand="0" w:noVBand="1" w:val="04A0"/>
      </w:tblPr>
      <w:tblGrid>
        <w:gridCol w:w="10080"/>
      </w:tblGrid>
      <w:tr>
        <w:trPr>
          <w:trHeight w:val="2880"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r>
        <w:br w:type="page"/>
      </w:r>
    </w:p>
    <w:p>
      <w:pPr>
        <w:spacing w:before="0" w:after="40" w:line="252" w:lineRule="auto"/>
        <w:jc w:val="center"/>
      </w:pPr>
      <w:r>
        <w:drawing>
          <wp:inline xmlns:a="http://schemas.openxmlformats.org/drawingml/2006/main" xmlns:pic="http://schemas.openxmlformats.org/drawingml/2006/picture">
            <wp:extent cx="566928" cy="739504"/>
            <wp:docPr id="4" name="Picture 4" descr="UMATTR gold logo"/>
            <wp:cNvGraphicFramePr>
              <a:graphicFrameLocks noChangeAspect="1"/>
            </wp:cNvGraphicFramePr>
            <a:graphic>
              <a:graphicData uri="http://schemas.openxmlformats.org/drawingml/2006/picture">
                <pic:pic>
                  <pic:nvPicPr>
                    <pic:cNvPr id="0" name="umattr_gold_logo.png"/>
                    <pic:cNvPicPr/>
                  </pic:nvPicPr>
                  <pic:blipFill>
                    <a:blip r:embed="rId10"/>
                    <a:stretch>
                      <a:fillRect/>
                    </a:stretch>
                  </pic:blipFill>
                  <pic:spPr>
                    <a:xfrm>
                      <a:off x="0" y="0"/>
                      <a:ext cx="566928" cy="739504"/>
                    </a:xfrm>
                    <a:prstGeom prst="rect"/>
                  </pic:spPr>
                </pic:pic>
              </a:graphicData>
            </a:graphic>
          </wp:inline>
        </w:drawing>
      </w:r>
    </w:p>
    <w:p>
      <w:pPr>
        <w:spacing w:before="0" w:after="40" w:line="252" w:lineRule="auto"/>
        <w:jc w:val="center"/>
      </w:pPr>
      <w:r>
        <w:rPr>
          <w:rFonts w:ascii="Georgia" w:hAnsi="Georgia"/>
          <w:b w:val="0"/>
          <w:i w:val="0"/>
          <w:color w:val="24262B"/>
          <w:sz w:val="34"/>
        </w:rPr>
        <w:t>Japan Sports Perspective and Role Interest</w:t>
      </w:r>
    </w:p>
    <w:p>
      <w:pPr>
        <w:spacing w:before="0" w:after="160" w:line="252" w:lineRule="auto"/>
        <w:jc w:val="center"/>
      </w:pPr>
      <w:r>
        <w:rPr>
          <w:rFonts w:ascii="Aptos" w:hAnsi="Aptos"/>
          <w:b w:val="0"/>
          <w:i/>
          <w:color w:val="666A70"/>
          <w:sz w:val="19"/>
        </w:rPr>
        <w:t>A final question about the sports landscape you understand today and where you would be most interested in contributing.</w:t>
      </w:r>
    </w:p>
    <w:tbl>
      <w:tblPr>
        <w:tblW w:type="auto" w:w="0"/>
        <w:jc w:val="center"/>
        <w:tblLayout w:type="fixed"/>
        <w:tblLook w:firstColumn="1" w:firstRow="1" w:lastColumn="0" w:lastRow="0" w:noHBand="0" w:noVBand="1" w:val="04A0"/>
      </w:tblPr>
      <w:tblGrid>
        <w:gridCol w:w="10224"/>
      </w:tblGrid>
      <w:t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shd w:fill="FBF8F0"/>
            <w:tcMar>
              <w:top w:w="120" w:type="dxa"/>
              <w:start w:w="150" w:type="dxa"/>
              <w:bottom w:w="120" w:type="dxa"/>
              <w:end w:w="150" w:type="dxa"/>
            </w:tcMar>
          </w:tcPr>
          <w:p>
            <w:pPr>
              <w:spacing w:before="0" w:after="40" w:line="252" w:lineRule="auto"/>
            </w:pPr>
            <w:r>
              <w:rPr>
                <w:rFonts w:ascii="Aptos" w:hAnsi="Aptos"/>
                <w:b/>
                <w:i w:val="0"/>
                <w:color w:val="B98B3F"/>
                <w:sz w:val="18"/>
              </w:rPr>
              <w:t>WHAT WE ARE LOOKING FOR</w:t>
            </w:r>
          </w:p>
          <w:p>
            <w:pPr>
              <w:spacing w:before="0" w:after="0" w:line="252" w:lineRule="auto"/>
            </w:pPr>
            <w:r>
              <w:rPr>
                <w:rFonts w:ascii="Aptos" w:hAnsi="Aptos"/>
                <w:b w:val="0"/>
                <w:i w:val="0"/>
                <w:color w:val="24262B"/>
                <w:sz w:val="19"/>
              </w:rPr>
              <w:t>We value cultural awareness, thoughtful relationship building, good organization, professional communication, curiosity about sport, and the judgment to avoid making commitments before terms or permissions are approved.</w:t>
            </w:r>
          </w:p>
        </w:tc>
      </w:tr>
    </w:tbl>
    <w:p>
      <w:pPr>
        <w:spacing w:after="40"/>
      </w:pPr>
    </w:p>
    <w:p>
      <w:pPr>
        <w:spacing w:before="20" w:after="40" w:line="252" w:lineRule="auto"/>
      </w:pPr>
      <w:r>
        <w:rPr>
          <w:rFonts w:ascii="Georgia" w:hAnsi="Georgia"/>
          <w:b w:val="0"/>
          <w:i w:val="0"/>
          <w:color w:val="24262B"/>
          <w:sz w:val="26"/>
        </w:rPr>
        <w:t>7. Japanese Sports Landscape and Potential Contribution</w:t>
      </w:r>
    </w:p>
    <w:p>
      <w:pPr>
        <w:spacing w:before="0" w:after="40" w:line="259" w:lineRule="auto"/>
      </w:pPr>
      <w:r>
        <w:rPr>
          <w:rFonts w:ascii="Aptos" w:hAnsi="Aptos"/>
          <w:b w:val="0"/>
          <w:i w:val="0"/>
          <w:color w:val="24262B"/>
          <w:sz w:val="21"/>
        </w:rPr>
        <w:t>Which parts of the Japanese sports landscape interest you most, and where do you think UMATTR could build meaningful relationships over time?</w:t>
      </w:r>
    </w:p>
    <w:p>
      <w:pPr>
        <w:spacing w:before="0" w:after="80" w:line="252" w:lineRule="auto"/>
      </w:pPr>
      <w:r>
        <w:rPr>
          <w:rFonts w:ascii="Aptos" w:hAnsi="Aptos"/>
          <w:b w:val="0"/>
          <w:i/>
          <w:color w:val="666A70"/>
          <w:sz w:val="18"/>
        </w:rPr>
        <w:t>You might discuss a sport, league, university system, athlete-development pathway, women's sport, youth sport, athlete career development, international exchange, community programmes or another area you know or would like to learn more about. Please also tell us what strengths you would personally bring to this work.</w:t>
      </w:r>
    </w:p>
    <w:tbl>
      <w:tblPr>
        <w:tblW w:type="auto" w:w="0"/>
        <w:jc w:val="center"/>
        <w:tblLayout w:type="fixed"/>
        <w:tblLook w:firstColumn="1" w:firstRow="1" w:lastColumn="0" w:lastRow="0" w:noHBand="0" w:noVBand="1" w:val="04A0"/>
      </w:tblPr>
      <w:tblGrid>
        <w:gridCol w:w="10080"/>
      </w:tblGrid>
      <w:tr>
        <w:trPr>
          <w:trHeight w:val="4536" w:hRule="atLeast"/>
        </w:trPr>
        <w:tc>
          <w:tcPr>
            <w:tcW w:type="dxa" w:w="10224"/>
            <w:tcBorders>
              <w:top w:val="single" w:sz="8" w:space="0" w:color="B98B3F"/>
              <w:left w:val="single" w:sz="8" w:space="0" w:color="B98B3F"/>
              <w:bottom w:val="single" w:sz="8" w:space="0" w:color="B98B3F"/>
              <w:right w:val="single" w:sz="8" w:space="0" w:color="B98B3F"/>
              <w:insideH w:val="single" w:sz="8" w:space="0" w:color="B98B3F"/>
              <w:insideV w:val="single" w:sz="8" w:space="0" w:color="B98B3F"/>
            </w:tcBorders>
            <w:tcMar>
              <w:top w:w="120" w:type="dxa"/>
              <w:start w:w="140" w:type="dxa"/>
              <w:bottom w:w="120" w:type="dxa"/>
              <w:end w:w="140" w:type="dxa"/>
            </w:tcMar>
            <w:vAlign w:val="top"/>
          </w:tcPr>
          <w:p>
            <w:r/>
          </w:p>
        </w:tc>
      </w:tr>
    </w:tbl>
    <w:p>
      <w:pPr>
        <w:spacing w:before="0" w:after="60" w:line="252" w:lineRule="auto"/>
      </w:pPr>
    </w:p>
    <w:p>
      <w:pPr>
        <w:spacing w:before="80" w:after="60" w:line="252" w:lineRule="auto"/>
        <w:jc w:val="center"/>
      </w:pPr>
      <w:r>
        <w:rPr>
          <w:rFonts w:ascii="Georgia" w:hAnsi="Georgia"/>
          <w:b w:val="0"/>
          <w:i w:val="0"/>
          <w:color w:val="24262B"/>
          <w:sz w:val="22"/>
        </w:rPr>
        <w:t>Thank you for taking the time to complete this short pre-screening.</w:t>
      </w:r>
    </w:p>
    <w:p>
      <w:pPr>
        <w:spacing w:before="0" w:after="0" w:line="252" w:lineRule="auto"/>
        <w:jc w:val="center"/>
      </w:pPr>
      <w:r>
        <w:rPr>
          <w:rFonts w:ascii="Aptos" w:hAnsi="Aptos"/>
          <w:b/>
          <w:i w:val="0"/>
          <w:color w:val="B98B3F"/>
          <w:sz w:val="18"/>
        </w:rPr>
        <w:t>Zhane Grey | Co-Founder and CTO, UMATTR</w:t>
      </w:r>
    </w:p>
    <w:sectPr w:rsidR="00FC693F" w:rsidRPr="0006063C" w:rsidSect="00034616">
      <w:footerReference w:type="default" r:id="rId9"/>
      <w:pgSz w:w="12240" w:h="15840"/>
      <w:pgMar w:top="720" w:right="1008" w:bottom="792"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A70"/>
        <w:sz w:val="15"/>
      </w:rPr>
      <w:t>UMATTR | Japan Athlete Partnerships Pre-Screening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UMATTR Japan Athlete Partnerships Coordinator Pre-Screening Questionnaire</dc:title>
  <dc:subject>Candidate pre-screening questionnaire</dc:subject>
  <dc:creator>UMATTR</dc:creator>
  <cp:keywords/>
  <dc:description>generated by python-docx</dc:description>
  <cp:lastModifiedBy/>
  <cp:revision>1</cp:revision>
  <dcterms:created xsi:type="dcterms:W3CDTF">2013-12-23T23:15:00Z</dcterms:created>
  <dcterms:modified xsi:type="dcterms:W3CDTF">2013-12-23T23:15:00Z</dcterms:modified>
  <cp:category/>
</cp:coreProperties>
</file>