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C950C">
      <w:pPr>
        <w:widowControl/>
        <w:spacing w:after="0" w:line="240" w:lineRule="auto"/>
        <w:ind w:firstLine="0" w:firstLineChars="0"/>
        <w:jc w:val="center"/>
        <w:rPr>
          <w:rFonts w:hint="eastAsia" w:ascii="仿宋" w:hAnsi="仿宋" w:eastAsia="仿宋" w:cs="Times New Roman"/>
          <w:b/>
          <w:bCs/>
          <w:kern w:val="2"/>
          <w:sz w:val="44"/>
          <w:szCs w:val="44"/>
          <w:lang w:val="zh-CN" w:eastAsia="zh-CN"/>
        </w:rPr>
      </w:pPr>
      <w:r>
        <w:rPr>
          <w:rFonts w:hint="eastAsia" w:ascii="宋体" w:hAnsi="宋体" w:eastAsia="宋体" w:cs="Times New Roman"/>
          <w:b/>
          <w:bCs/>
          <w:kern w:val="2"/>
          <w:sz w:val="36"/>
          <w:szCs w:val="44"/>
          <w:lang w:val="zh-CN" w:eastAsia="zh-CN"/>
        </w:rPr>
        <w:t>基于Amazon Reviews 2023的Top-K商品推荐实验报告</w:t>
      </w:r>
    </w:p>
    <w:p w14:paraId="09C44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/>
        <w:jc w:val="center"/>
        <w:textAlignment w:val="auto"/>
      </w:pPr>
      <w:r>
        <w:rPr>
          <w:rFonts w:ascii="宋体" w:hAnsi="宋体" w:eastAsia="宋体"/>
          <w:sz w:val="21"/>
        </w:rPr>
        <w:t>姓名：</w:t>
      </w:r>
      <w:r>
        <w:rPr>
          <w:rFonts w:hint="eastAsia" w:ascii="宋体" w:hAnsi="宋体"/>
          <w:sz w:val="21"/>
          <w:lang w:val="en-US" w:eastAsia="zh-CN"/>
        </w:rPr>
        <w:t>冯文璐</w:t>
      </w:r>
      <w:r>
        <w:rPr>
          <w:rFonts w:ascii="宋体" w:hAnsi="宋体" w:eastAsia="宋体"/>
          <w:sz w:val="21"/>
        </w:rPr>
        <w:t xml:space="preserve">   学号：   日期：2026年5月28日</w:t>
      </w:r>
    </w:p>
    <w:p w14:paraId="3A27E655">
      <w:pPr>
        <w:pStyle w:val="4"/>
        <w:spacing w:before="200" w:after="120"/>
      </w:pPr>
      <w:r>
        <w:rPr>
          <w:rFonts w:ascii="黑体" w:hAnsi="黑体" w:eastAsia="黑体"/>
          <w:b/>
          <w:sz w:val="28"/>
        </w:rPr>
        <w:t>一、背景介绍与实验设置</w:t>
      </w:r>
    </w:p>
    <w:p w14:paraId="609E8B75">
      <w:pPr>
        <w:spacing w:after="80"/>
        <w:ind w:firstLine="420"/>
      </w:pPr>
      <w:r>
        <w:rPr>
          <w:rFonts w:ascii="宋体" w:hAnsi="宋体" w:eastAsia="宋体"/>
          <w:sz w:val="21"/>
        </w:rPr>
        <w:t>商品推荐任务的核心是根据用户历史行为和商品内容信息，从大规模候选库中找出用户下一次最可能交互的商品。本次大作业使用Amazon Reviews 2023中的5</w:t>
      </w:r>
      <w:bookmarkStart w:id="0" w:name="_GoBack"/>
      <w:bookmarkEnd w:id="0"/>
      <w:r>
        <w:rPr>
          <w:rFonts w:ascii="宋体" w:hAnsi="宋体" w:eastAsia="宋体"/>
          <w:sz w:val="21"/>
        </w:rPr>
        <w:t>-Core数据，实验对象包括Industrial_and_Scientific、Musical_Instruments和CDs_and_Vinyl三个类别，目标是在每条样本上输出10个候选商品并计算NDCG@10。</w:t>
      </w:r>
    </w:p>
    <w:p w14:paraId="295715E0">
      <w:pPr>
        <w:spacing w:after="80"/>
        <w:ind w:firstLine="420"/>
      </w:pPr>
      <w:r>
        <w:rPr>
          <w:rFonts w:ascii="宋体" w:hAnsi="宋体" w:eastAsia="宋体"/>
          <w:sz w:val="21"/>
        </w:rPr>
        <w:t>5-Core数据降低了极端稀疏性对推荐实验的影响。该版本保证每个用户和每个商品至少出现5次交互，因此序列共现、文本召回和深度序列建模都能从相对稳定的历史行为中学习模式。数据划分遵循作业说明：给定用户按时间排序的交互序列，前N-2个交互用于训练，第N-1个交互用于验证，第N个交互用于测试。</w:t>
      </w:r>
    </w:p>
    <w:p w14:paraId="0C91FA0C">
      <w:pPr>
        <w:spacing w:after="80"/>
        <w:ind w:firstLine="420"/>
      </w:pPr>
      <w:r>
        <w:rPr>
          <w:rFonts w:ascii="宋体" w:hAnsi="宋体" w:eastAsia="宋体"/>
          <w:sz w:val="21"/>
        </w:rPr>
        <w:t>实验环境采用项目根目录下的.venv虚拟环境运行。传统baseline依赖pandas、NumPy、SciPy、scikit-learn和tqdm，SASRec增强实验额外依赖PyTorch。为避免重复解析大文件，代码对交互数据、metadata、review聚合结果、TF-IDF矩阵、深度召回候选和最优权重进行缓存，正式结果均由命令行脚本src/run.py生成。</w:t>
      </w:r>
    </w:p>
    <w:p w14:paraId="68E6E554">
      <w:pPr>
        <w:spacing w:after="80"/>
        <w:ind w:firstLine="420"/>
      </w:pPr>
      <w:r>
        <w:rPr>
          <w:rFonts w:ascii="宋体" w:hAnsi="宋体" w:eastAsia="宋体"/>
          <w:sz w:val="21"/>
        </w:rPr>
        <w:t>NDCG@10用于衡量真实商品在Top-10推荐列表中的位置。每条样本只有一个真实目标商品parent_asin，若它排在第rank名，则该样本得分为1/log2(rank+1)；若没有进入Top-10，则得分为0。最终NDCG@10是全部样本得分的平均值，因此它同时关注是否命中和命中位置是否靠前。</w:t>
      </w:r>
    </w:p>
    <w:p w14:paraId="3079616D">
      <w:pPr>
        <w:pStyle w:val="4"/>
        <w:spacing w:before="200" w:after="120"/>
      </w:pPr>
      <w:r>
        <w:rPr>
          <w:rFonts w:ascii="黑体" w:hAnsi="黑体" w:eastAsia="黑体"/>
          <w:b/>
          <w:sz w:val="28"/>
        </w:rPr>
        <w:t>二、数据集与预处理</w:t>
      </w:r>
    </w:p>
    <w:p w14:paraId="477F2829">
      <w:pPr>
        <w:spacing w:after="80"/>
        <w:ind w:firstLine="420"/>
      </w:pPr>
      <w:r>
        <w:rPr>
          <w:rFonts w:ascii="宋体" w:hAnsi="宋体" w:eastAsia="宋体"/>
          <w:sz w:val="21"/>
        </w:rPr>
        <w:t>数据处理首先统一三类交互文件的字段和时间序列含义。train、valid和test文件均包含user_id、parent_asin和history等字段，其中history表示该用户在预测目标商品之前已经交互过的商品序列。模型训练时只使用当前阶段可见的数据，valid阶段只用train建索引并调权，test阶段再用train+valid重建最终索引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1840"/>
        <w:gridCol w:w="1821"/>
        <w:gridCol w:w="1821"/>
        <w:gridCol w:w="1791"/>
      </w:tblGrid>
      <w:tr w14:paraId="3D9F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24703D6E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612EE7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训练集样本数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BAEA6AB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验证集样本数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9651CE7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测试集样本数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41EE92A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 w14:paraId="1B24A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563DA4BE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Industrial_and_Scientific</w:t>
            </w:r>
          </w:p>
        </w:tc>
        <w:tc>
          <w:tcPr>
            <w:tcW w:w="1930" w:type="dxa"/>
            <w:vAlign w:val="center"/>
          </w:tcPr>
          <w:p w14:paraId="43A6A8D3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310,977</w:t>
            </w:r>
          </w:p>
        </w:tc>
        <w:tc>
          <w:tcPr>
            <w:tcW w:w="1930" w:type="dxa"/>
            <w:vAlign w:val="center"/>
          </w:tcPr>
          <w:p w14:paraId="64240C7C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50,985</w:t>
            </w:r>
          </w:p>
        </w:tc>
        <w:tc>
          <w:tcPr>
            <w:tcW w:w="1930" w:type="dxa"/>
            <w:vAlign w:val="center"/>
          </w:tcPr>
          <w:p w14:paraId="30690B60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50,985</w:t>
            </w:r>
          </w:p>
        </w:tc>
        <w:tc>
          <w:tcPr>
            <w:tcW w:w="1930" w:type="dxa"/>
            <w:vAlign w:val="center"/>
          </w:tcPr>
          <w:p w14:paraId="7DA5F68E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5-Core交互数据</w:t>
            </w:r>
          </w:p>
        </w:tc>
      </w:tr>
      <w:tr w14:paraId="29218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0D1E8EF7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Musical_Instruments</w:t>
            </w:r>
          </w:p>
        </w:tc>
        <w:tc>
          <w:tcPr>
            <w:tcW w:w="1930" w:type="dxa"/>
            <w:vAlign w:val="center"/>
          </w:tcPr>
          <w:p w14:paraId="4F66FFE3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396,958</w:t>
            </w:r>
          </w:p>
        </w:tc>
        <w:tc>
          <w:tcPr>
            <w:tcW w:w="1930" w:type="dxa"/>
            <w:vAlign w:val="center"/>
          </w:tcPr>
          <w:p w14:paraId="04E01164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57,439</w:t>
            </w:r>
          </w:p>
        </w:tc>
        <w:tc>
          <w:tcPr>
            <w:tcW w:w="1930" w:type="dxa"/>
            <w:vAlign w:val="center"/>
          </w:tcPr>
          <w:p w14:paraId="4505C6A8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57,439</w:t>
            </w:r>
          </w:p>
        </w:tc>
        <w:tc>
          <w:tcPr>
            <w:tcW w:w="1930" w:type="dxa"/>
            <w:vAlign w:val="center"/>
          </w:tcPr>
          <w:p w14:paraId="0285CF7E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5-Core交互数据</w:t>
            </w:r>
          </w:p>
        </w:tc>
      </w:tr>
      <w:tr w14:paraId="29487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208C9BBE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CDs_and_Vinyl</w:t>
            </w:r>
          </w:p>
        </w:tc>
        <w:tc>
          <w:tcPr>
            <w:tcW w:w="1930" w:type="dxa"/>
            <w:vAlign w:val="center"/>
          </w:tcPr>
          <w:p w14:paraId="36C4C766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1,305,012</w:t>
            </w:r>
          </w:p>
        </w:tc>
        <w:tc>
          <w:tcPr>
            <w:tcW w:w="1930" w:type="dxa"/>
            <w:vAlign w:val="center"/>
          </w:tcPr>
          <w:p w14:paraId="3EE8C21F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123,876</w:t>
            </w:r>
          </w:p>
        </w:tc>
        <w:tc>
          <w:tcPr>
            <w:tcW w:w="1930" w:type="dxa"/>
            <w:vAlign w:val="center"/>
          </w:tcPr>
          <w:p w14:paraId="2709C744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123,876</w:t>
            </w:r>
          </w:p>
        </w:tc>
        <w:tc>
          <w:tcPr>
            <w:tcW w:w="1930" w:type="dxa"/>
            <w:vAlign w:val="center"/>
          </w:tcPr>
          <w:p w14:paraId="501C9DF7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5-Core交互数据</w:t>
            </w:r>
          </w:p>
        </w:tc>
      </w:tr>
    </w:tbl>
    <w:p w14:paraId="6245E003"/>
    <w:p w14:paraId="4596A16B">
      <w:pPr>
        <w:spacing w:after="80"/>
        <w:ind w:firstLine="420"/>
      </w:pPr>
      <w:r>
        <w:rPr>
          <w:rFonts w:ascii="宋体" w:hAnsi="宋体" w:eastAsia="宋体"/>
          <w:sz w:val="21"/>
        </w:rPr>
        <w:t>metadata预处理把商品标题、店铺、主类别、类别路径、商品特征、描述和details字段拼接为商品侧文本。文本召回不直接使用测试集目标商品信息，默认只对训练阶段可见的交互商品建立TF-IDF索引，从而控制运行时间和数据泄露风险。</w:t>
      </w:r>
    </w:p>
    <w:p w14:paraId="6DB4D403">
      <w:pPr>
        <w:spacing w:after="80"/>
        <w:ind w:firstLine="420"/>
      </w:pPr>
      <w:r>
        <w:rPr>
          <w:rFonts w:ascii="宋体" w:hAnsi="宋体" w:eastAsia="宋体"/>
          <w:sz w:val="21"/>
        </w:rPr>
        <w:t>review预处理按parent_asin聚合用户评论文本。代码读取Amazon Reviews 2023格式的jsonl文件，提取rating、title、text、helpful_vote和verified_purchase等字段，并把更可信的已验证购买评论和高有用票评论赋予更高文本权重，同时保留评论数量、平均评分、有用票数和已验证购买比例等统计特征。</w:t>
      </w:r>
    </w:p>
    <w:p w14:paraId="710FC66F">
      <w:pPr>
        <w:spacing w:after="80"/>
        <w:ind w:firstLine="420"/>
      </w:pPr>
      <w:r>
        <w:rPr>
          <w:rFonts w:ascii="宋体" w:hAnsi="宋体" w:eastAsia="宋体"/>
          <w:sz w:val="21"/>
        </w:rPr>
        <w:t>预处理阶段还会过滤用户已经出现在history中的商品。最终预测列表需要给出10个不同商品，因此候选融合后会先去重，再剔除历史商品，最后按综合分数取Top-10。</w:t>
      </w:r>
    </w:p>
    <w:p w14:paraId="75980195">
      <w:pPr>
        <w:jc w:val="center"/>
      </w:pPr>
      <w:r>
        <w:drawing>
          <wp:inline distT="0" distB="0" distL="114300" distR="114300">
            <wp:extent cx="5394960" cy="283210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82CC">
      <w:pPr>
        <w:jc w:val="center"/>
      </w:pPr>
      <w:r>
        <w:rPr>
          <w:rFonts w:ascii="宋体" w:hAnsi="宋体" w:eastAsia="宋体"/>
          <w:sz w:val="18"/>
        </w:rPr>
        <w:t>图1推荐系统整体流程</w:t>
      </w:r>
    </w:p>
    <w:p w14:paraId="274653CD">
      <w:pPr>
        <w:pStyle w:val="4"/>
        <w:spacing w:before="200" w:after="120"/>
      </w:pPr>
      <w:r>
        <w:rPr>
          <w:rFonts w:ascii="黑体" w:hAnsi="黑体" w:eastAsia="黑体"/>
          <w:b/>
          <w:sz w:val="28"/>
        </w:rPr>
        <w:t>三、方法设计</w:t>
      </w:r>
    </w:p>
    <w:p w14:paraId="7D683175">
      <w:pPr>
        <w:spacing w:after="80"/>
        <w:ind w:firstLine="420"/>
      </w:pPr>
      <w:r>
        <w:rPr>
          <w:rFonts w:ascii="宋体" w:hAnsi="宋体" w:eastAsia="宋体"/>
          <w:sz w:val="21"/>
        </w:rPr>
        <w:t>本实验采用多路召回加融合排序的结构作为主方法。三类数据的候选商品规模较大，如果直接对全量商品逐一排序，运行成本较高，也很难充分利用不同来源的信息；因此程序先从交互行为、商品文本和评论文本中分别召回候选，再把这些候选放到同一个排序空间中比较。</w:t>
      </w:r>
    </w:p>
    <w:p w14:paraId="427A23D8">
      <w:pPr>
        <w:spacing w:after="80"/>
        <w:ind w:firstLine="420"/>
      </w:pPr>
      <w:r>
        <w:rPr>
          <w:rFonts w:ascii="宋体" w:hAnsi="宋体" w:eastAsia="宋体"/>
          <w:sz w:val="21"/>
        </w:rPr>
        <w:t>候选生成阶段把召回覆盖率作为首要目标。每一路召回只负责从自己的信息来源中找出可能命中的商品，不要求单独完成最终排序；同一商品如果被多路召回，会保留多个通道分数。这样可以让共现关系、文本相似性和热门趋势互相补充，减少某一路信号失效时对整体结果的影响。</w:t>
      </w:r>
    </w:p>
    <w:p w14:paraId="1D1908BE">
      <w:pPr>
        <w:spacing w:after="80"/>
        <w:ind w:firstLine="420"/>
      </w:pPr>
      <w:r>
        <w:rPr>
          <w:rFonts w:ascii="宋体" w:hAnsi="宋体" w:eastAsia="宋体"/>
          <w:sz w:val="21"/>
        </w:rPr>
        <w:t>热门召回负责提供稳定兜底候选。程序统计训练集中每个商品的交互次数、平均评分和时间衰减热度，其中出现次数更多、评分更高、近期交互更多的商品会得到更高popular和rating分数。该通道对短历史用户尤其重要，因为短历史用户能够用于共现和文本查询的商品较少。</w:t>
      </w:r>
    </w:p>
    <w:p w14:paraId="2AC61634">
      <w:pPr>
        <w:spacing w:after="80"/>
        <w:ind w:firstLine="420"/>
      </w:pPr>
      <w:r>
        <w:rPr>
          <w:rFonts w:ascii="宋体" w:hAnsi="宋体" w:eastAsia="宋体"/>
          <w:sz w:val="21"/>
        </w:rPr>
        <w:t>序列共现召回负责捕捉用户行为序列中的局部转移规律。程序把每个用户的history和当前训练目标按时间顺序组成序列，在固定窗口内统计item-item共现关系；两个商品在用户序列中距离越近，共现权重越高。预测时，用户越新的历史商品权重越大，因此最近行为会更强地影响候选分数。</w:t>
      </w:r>
    </w:p>
    <w:p w14:paraId="4A5DD61E">
      <w:pPr>
        <w:spacing w:after="80"/>
        <w:ind w:firstLine="420"/>
      </w:pPr>
      <w:r>
        <w:rPr>
          <w:rFonts w:ascii="宋体" w:hAnsi="宋体" w:eastAsia="宋体"/>
          <w:sz w:val="21"/>
        </w:rPr>
        <w:t>metadata文本召回负责利用商品自身内容信息。程序把title、store、main_category、categories、features、description和details拼接成商品文本，并用TF-IDF得到稀疏向量。预测时会把用户历史商品的文本向量加权平均为查询向量，再计算候选商品与该查询向量的相似度，从而召回属性、用途或类别相近的商品。</w:t>
      </w:r>
    </w:p>
    <w:p w14:paraId="05B9D036">
      <w:pPr>
        <w:spacing w:after="80"/>
        <w:ind w:firstLine="420"/>
      </w:pPr>
      <w:r>
        <w:rPr>
          <w:rFonts w:ascii="宋体" w:hAnsi="宋体" w:eastAsia="宋体"/>
          <w:sz w:val="21"/>
        </w:rPr>
        <w:t>review文本召回负责利用用户评价中的语义信息。程序按parent_asin聚合review标题和正文，同时根据verified_purchase和helpful_vote增强更可信评论的影响，并统计评论数、平均评分、有用票数和验证购买比例。metadata文本和review文本分别建索引，是为了避免评论中的高频表达掩盖商品基础属性。</w:t>
      </w:r>
    </w:p>
    <w:p w14:paraId="2E76AFE7">
      <w:pPr>
        <w:spacing w:after="80"/>
        <w:ind w:firstLine="420"/>
      </w:pPr>
      <w:r>
        <w:rPr>
          <w:rFonts w:ascii="宋体" w:hAnsi="宋体" w:eastAsia="宋体"/>
          <w:sz w:val="21"/>
        </w:rPr>
        <w:t>融合排序阶段把候选商品的cooc、meta、review、popular、recent和rating等分数合成为最终得分。valid阶段在固定权重组合上搜索NDCG@10最高的权重，并把最优权重缓存下来；test阶段使用验证集选出的权重，在train+valid上重建索引后预测。该流程保证测试集真实商品只参与最终评价，不参与建模和调参。</w:t>
      </w:r>
    </w:p>
    <w:p w14:paraId="3520E6BC">
      <w:pPr>
        <w:spacing w:after="80"/>
        <w:ind w:firstLine="420"/>
      </w:pPr>
      <w:r>
        <w:rPr>
          <w:rFonts w:ascii="宋体" w:hAnsi="宋体" w:eastAsia="宋体"/>
          <w:sz w:val="21"/>
        </w:rPr>
        <w:t>SASRec增强实验把深度序列模型作为新增召回通道，而不是直接替代baseline。SASRec的输入是用户最近的商品ID序列，程序先把训练阶段可见的parent_asin映射为连续编号，并用0作为padding编号；每条序列最多保留最近50个商品，过长历史只截取末尾部分，使模型更关注近期兴趣。</w:t>
      </w:r>
    </w:p>
    <w:p w14:paraId="61637A3E">
      <w:pPr>
        <w:spacing w:after="80"/>
        <w:ind w:firstLine="420"/>
      </w:pPr>
      <w:r>
        <w:rPr>
          <w:rFonts w:ascii="宋体" w:hAnsi="宋体" w:eastAsia="宋体"/>
          <w:sz w:val="21"/>
        </w:rPr>
        <w:t>SASRec训练样本采用前缀增强方式构造。程序会把用户history和当前训练目标拼成完整序列，再拆成多个“历史前缀预测下一个商品”的训练样本，因此一个长序列可以贡献多个监督信号。训练时每个正样本随机采样64个负商品，模型用BCEWithLogitsLoss同时拉高真实下一个商品分数、压低负样本分数。</w:t>
      </w:r>
    </w:p>
    <w:p w14:paraId="10D9B8BE">
      <w:pPr>
        <w:spacing w:after="80"/>
        <w:ind w:firstLine="420"/>
      </w:pPr>
      <w:r>
        <w:rPr>
          <w:rFonts w:ascii="宋体" w:hAnsi="宋体" w:eastAsia="宋体"/>
          <w:sz w:val="21"/>
        </w:rPr>
        <w:t>SASRec模型结构保持轻量化以控制训练时间。模型包含商品embedding、位置embedding和2层TransformerEncoder，隐藏维度为64，注意力头数为2，dropout为0.2。Transformer使用因果mask避免当前位置看到未来商品，输出时取最后一个有效历史位置的向量作为用户当前兴趣表示。</w:t>
      </w:r>
    </w:p>
    <w:p w14:paraId="06763FCB">
      <w:pPr>
        <w:spacing w:after="80"/>
        <w:ind w:firstLine="420"/>
      </w:pPr>
      <w:r>
        <w:rPr>
          <w:rFonts w:ascii="宋体" w:hAnsi="宋体" w:eastAsia="宋体"/>
          <w:sz w:val="21"/>
        </w:rPr>
        <w:t>SASRec召回阶段会用用户兴趣向量对全部可见商品打分。程序通过用户向量和商品embedding点积得到候选logit，并额外加入商品bias；随后屏蔽padding和用户history中已经出现过的商品，再取Top-N作为deep候选。为了和其他召回通道统一，deep候选分数最后按召回名次转换为1/log2(rank+1)。</w:t>
      </w:r>
    </w:p>
    <w:p w14:paraId="2A81CDEC">
      <w:pPr>
        <w:spacing w:after="80"/>
        <w:ind w:firstLine="420"/>
      </w:pPr>
      <w:r>
        <w:rPr>
          <w:rFonts w:ascii="宋体" w:hAnsi="宋体" w:eastAsia="宋体"/>
          <w:sz w:val="21"/>
        </w:rPr>
        <w:t>SASRec结果仍然进入融合权重搜索，而不是直接作为最终排序。deep分数会和cooc、meta、review、popular、recent和rating一起计算总分，valid阶段自动选择deep权重。如果deep通道没有贡献，搜索过程可以降低deep权重，从而保留baseline稳定性；如果deep找到了传统候选没有覆盖到的真实商品，它就会提升候选池覆盖率。</w:t>
      </w:r>
    </w:p>
    <w:p w14:paraId="3C60C318">
      <w:pPr>
        <w:spacing w:after="80"/>
        <w:ind w:firstLine="420"/>
      </w:pPr>
      <w:r>
        <w:rPr>
          <w:rFonts w:ascii="宋体" w:hAnsi="宋体" w:eastAsia="宋体"/>
          <w:sz w:val="21"/>
        </w:rPr>
        <w:t>本实验最终保留SASRec作为增强而不是单独排序模型。原因是验证结果显示主要瓶颈仍然在候选覆盖率，深度模型能够补充一部分传统召回没有覆盖到的真实商品，但覆盖比例不足以完全替代共现和文本召回；把它作为增量通道更符合当前数据规模和运行时间约束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1DA2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6477C0B1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召回或排序模块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B349C2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使用信息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62D8F9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主要作用</w:t>
            </w:r>
          </w:p>
        </w:tc>
      </w:tr>
      <w:tr w14:paraId="59E7D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F4F0D42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热门召回</w:t>
            </w:r>
          </w:p>
        </w:tc>
        <w:tc>
          <w:tcPr>
            <w:tcW w:w="3216" w:type="dxa"/>
            <w:vAlign w:val="center"/>
          </w:tcPr>
          <w:p w14:paraId="2338EA21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交互频次、评分、时间衰减</w:t>
            </w:r>
          </w:p>
        </w:tc>
        <w:tc>
          <w:tcPr>
            <w:tcW w:w="3216" w:type="dxa"/>
            <w:vAlign w:val="center"/>
          </w:tcPr>
          <w:p w14:paraId="4430D95C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保证候选池稳定和Top-10数量充足</w:t>
            </w:r>
          </w:p>
        </w:tc>
      </w:tr>
      <w:tr w14:paraId="27E1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338BE3FA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序列共现召回</w:t>
            </w:r>
          </w:p>
        </w:tc>
        <w:tc>
          <w:tcPr>
            <w:tcW w:w="3216" w:type="dxa"/>
            <w:vAlign w:val="center"/>
          </w:tcPr>
          <w:p w14:paraId="771CC54C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用户history中的相邻和近邻商品</w:t>
            </w:r>
          </w:p>
        </w:tc>
        <w:tc>
          <w:tcPr>
            <w:tcW w:w="3216" w:type="dxa"/>
            <w:vAlign w:val="center"/>
          </w:tcPr>
          <w:p w14:paraId="1C358F81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学习商品之间的局部转移关系</w:t>
            </w:r>
          </w:p>
        </w:tc>
      </w:tr>
      <w:tr w14:paraId="63F46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3229A5B0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metadata文本召回</w:t>
            </w:r>
          </w:p>
        </w:tc>
        <w:tc>
          <w:tcPr>
            <w:tcW w:w="3216" w:type="dxa"/>
            <w:vAlign w:val="center"/>
          </w:tcPr>
          <w:p w14:paraId="3EEF44EB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商品标题、类别、描述、属性</w:t>
            </w:r>
          </w:p>
        </w:tc>
        <w:tc>
          <w:tcPr>
            <w:tcW w:w="3216" w:type="dxa"/>
            <w:vAlign w:val="center"/>
          </w:tcPr>
          <w:p w14:paraId="5212B14C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补充内容相似商品</w:t>
            </w:r>
          </w:p>
        </w:tc>
      </w:tr>
      <w:tr w14:paraId="632D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64C4AE7A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review文本召回</w:t>
            </w:r>
          </w:p>
        </w:tc>
        <w:tc>
          <w:tcPr>
            <w:tcW w:w="3216" w:type="dxa"/>
            <w:vAlign w:val="center"/>
          </w:tcPr>
          <w:p w14:paraId="10F590D5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评论标题、正文、评分、有用票、验证购买</w:t>
            </w:r>
          </w:p>
        </w:tc>
        <w:tc>
          <w:tcPr>
            <w:tcW w:w="3216" w:type="dxa"/>
            <w:vAlign w:val="center"/>
          </w:tcPr>
          <w:p w14:paraId="566C04D4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补充用户评价语义相似商品</w:t>
            </w:r>
          </w:p>
        </w:tc>
      </w:tr>
      <w:tr w14:paraId="3CAF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E10BB5A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融合权重搜索</w:t>
            </w:r>
          </w:p>
        </w:tc>
        <w:tc>
          <w:tcPr>
            <w:tcW w:w="3216" w:type="dxa"/>
            <w:vAlign w:val="center"/>
          </w:tcPr>
          <w:p w14:paraId="3CECF5AD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各通道分数和valid NDCG@10</w:t>
            </w:r>
          </w:p>
        </w:tc>
        <w:tc>
          <w:tcPr>
            <w:tcW w:w="3216" w:type="dxa"/>
            <w:vAlign w:val="center"/>
          </w:tcPr>
          <w:p w14:paraId="0DFB7C60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选择最终排序权重</w:t>
            </w:r>
          </w:p>
        </w:tc>
      </w:tr>
      <w:tr w14:paraId="2AC9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6FE51918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SASRec深度召回</w:t>
            </w:r>
          </w:p>
        </w:tc>
        <w:tc>
          <w:tcPr>
            <w:tcW w:w="3216" w:type="dxa"/>
            <w:vAlign w:val="center"/>
          </w:tcPr>
          <w:p w14:paraId="5DE24E15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用户交互序列</w:t>
            </w:r>
          </w:p>
        </w:tc>
        <w:tc>
          <w:tcPr>
            <w:tcW w:w="3216" w:type="dxa"/>
            <w:vAlign w:val="center"/>
          </w:tcPr>
          <w:p w14:paraId="56F6E933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补充传统召回没有覆盖到的序列候选</w:t>
            </w:r>
          </w:p>
        </w:tc>
      </w:tr>
    </w:tbl>
    <w:p w14:paraId="02BBF414"/>
    <w:p w14:paraId="5BEDACF4">
      <w:pPr>
        <w:pStyle w:val="4"/>
        <w:spacing w:before="200" w:after="120"/>
      </w:pPr>
      <w:r>
        <w:rPr>
          <w:rFonts w:ascii="黑体" w:hAnsi="黑体" w:eastAsia="黑体"/>
          <w:b/>
          <w:sz w:val="28"/>
        </w:rPr>
        <w:t>四、实验结果与分析</w:t>
      </w:r>
    </w:p>
    <w:p w14:paraId="2AB0A6B5">
      <w:pPr>
        <w:spacing w:after="80"/>
        <w:ind w:firstLine="420"/>
      </w:pPr>
      <w:r>
        <w:rPr>
          <w:rFonts w:ascii="宋体" w:hAnsi="宋体" w:eastAsia="宋体"/>
          <w:sz w:val="21"/>
        </w:rPr>
        <w:t>baseline实验在三个类别上都完成了完整测试。结果显示CDs_and_Vinyl类别的NDCG@10最高，测试集达到0.057435；Industrial_and_Scientific和Musical_Instruments两个类别分数较接近，分别为0.027929和0.030157。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2412"/>
        <w:gridCol w:w="2412"/>
        <w:gridCol w:w="2412"/>
      </w:tblGrid>
      <w:tr w14:paraId="768B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553A3994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4F2D72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valid NDCG@10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D6DC3EE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test NDCG@10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76749F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最优权重</w:t>
            </w:r>
          </w:p>
        </w:tc>
      </w:tr>
      <w:tr w14:paraId="7354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4E2D4454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Industrial_and_Scientific</w:t>
            </w:r>
          </w:p>
        </w:tc>
        <w:tc>
          <w:tcPr>
            <w:tcW w:w="2412" w:type="dxa"/>
            <w:vAlign w:val="center"/>
          </w:tcPr>
          <w:p w14:paraId="1E444C7F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0.034901</w:t>
            </w:r>
          </w:p>
        </w:tc>
        <w:tc>
          <w:tcPr>
            <w:tcW w:w="2412" w:type="dxa"/>
            <w:vAlign w:val="center"/>
          </w:tcPr>
          <w:p w14:paraId="2DB1391F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0.027929</w:t>
            </w:r>
          </w:p>
        </w:tc>
        <w:tc>
          <w:tcPr>
            <w:tcW w:w="2412" w:type="dxa"/>
            <w:vAlign w:val="center"/>
          </w:tcPr>
          <w:p w14:paraId="7ACA980F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cooc=0.75，meta=0.35，review=0.6，popular=0.18，recent=0.1，rating=0.08</w:t>
            </w:r>
          </w:p>
        </w:tc>
      </w:tr>
      <w:tr w14:paraId="0DA7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7A9D0C51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Musical_Instruments</w:t>
            </w:r>
          </w:p>
        </w:tc>
        <w:tc>
          <w:tcPr>
            <w:tcW w:w="2412" w:type="dxa"/>
            <w:vAlign w:val="center"/>
          </w:tcPr>
          <w:p w14:paraId="0806AC5B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0.032753</w:t>
            </w:r>
          </w:p>
        </w:tc>
        <w:tc>
          <w:tcPr>
            <w:tcW w:w="2412" w:type="dxa"/>
            <w:vAlign w:val="center"/>
          </w:tcPr>
          <w:p w14:paraId="1DC2717C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0.030157</w:t>
            </w:r>
          </w:p>
        </w:tc>
        <w:tc>
          <w:tcPr>
            <w:tcW w:w="2412" w:type="dxa"/>
            <w:vAlign w:val="center"/>
          </w:tcPr>
          <w:p w14:paraId="338A06E5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cooc=0.85，meta=0.45，review=0.45，popular=0.18，recent=0.12，rating=0.08</w:t>
            </w:r>
          </w:p>
        </w:tc>
      </w:tr>
      <w:tr w14:paraId="4B276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43345755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CDs_and_Vinyl</w:t>
            </w:r>
          </w:p>
        </w:tc>
        <w:tc>
          <w:tcPr>
            <w:tcW w:w="2412" w:type="dxa"/>
            <w:vAlign w:val="center"/>
          </w:tcPr>
          <w:p w14:paraId="73711E46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0.063123</w:t>
            </w:r>
          </w:p>
        </w:tc>
        <w:tc>
          <w:tcPr>
            <w:tcW w:w="2412" w:type="dxa"/>
            <w:vAlign w:val="center"/>
          </w:tcPr>
          <w:p w14:paraId="6F1491BC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0.057435</w:t>
            </w:r>
          </w:p>
        </w:tc>
        <w:tc>
          <w:tcPr>
            <w:tcW w:w="2412" w:type="dxa"/>
            <w:vAlign w:val="center"/>
          </w:tcPr>
          <w:p w14:paraId="1E49AC64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cooc=0.7，meta=0.6，review=0.4，popular=0.2，recent=0.1，rating=0.08</w:t>
            </w:r>
          </w:p>
        </w:tc>
      </w:tr>
    </w:tbl>
    <w:p w14:paraId="49585C16"/>
    <w:p w14:paraId="7FC17003">
      <w:pPr>
        <w:jc w:val="center"/>
      </w:pPr>
      <w:r>
        <w:drawing>
          <wp:inline distT="0" distB="0" distL="114300" distR="114300">
            <wp:extent cx="5394960" cy="3159760"/>
            <wp:effectExtent l="0" t="0" r="571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09F1">
      <w:pPr>
        <w:jc w:val="center"/>
      </w:pPr>
      <w:r>
        <w:rPr>
          <w:rFonts w:ascii="宋体" w:hAnsi="宋体" w:eastAsia="宋体"/>
          <w:sz w:val="18"/>
        </w:rPr>
        <w:t>图2baseline三类测试NDCG@10</w:t>
      </w:r>
    </w:p>
    <w:p w14:paraId="1117E47D">
      <w:pPr>
        <w:spacing w:after="80"/>
        <w:ind w:firstLine="420"/>
      </w:pPr>
      <w:r>
        <w:rPr>
          <w:rFonts w:ascii="宋体" w:hAnsi="宋体" w:eastAsia="宋体"/>
          <w:sz w:val="21"/>
        </w:rPr>
        <w:t>SASRec细调实验目前只在Industrial_and_Scientific和Musical_Instruments两个类别上完成测试，因此本报告只在这两个已有类别上比较改进。结果显示，加入deep召回并进行局部细粒度权重搜索后，两个类别的测试NDCG@10均有小幅提升，说明深度序列召回能够补充一部分传统召回没有覆盖到的候选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1482"/>
        <w:gridCol w:w="1481"/>
        <w:gridCol w:w="1481"/>
        <w:gridCol w:w="1424"/>
        <w:gridCol w:w="1405"/>
      </w:tblGrid>
      <w:tr w14:paraId="26D6B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22B6DDD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AA67E2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baseline test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FD976E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SASRec细调test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0B3620C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绝对提升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9A64745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相对提升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BA40EB1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deep权重</w:t>
            </w:r>
          </w:p>
        </w:tc>
      </w:tr>
      <w:tr w14:paraId="7497E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vAlign w:val="center"/>
          </w:tcPr>
          <w:p w14:paraId="2210C461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Industrial_and_Scientific</w:t>
            </w:r>
          </w:p>
        </w:tc>
        <w:tc>
          <w:tcPr>
            <w:tcW w:w="1608" w:type="dxa"/>
            <w:vAlign w:val="center"/>
          </w:tcPr>
          <w:p w14:paraId="05983C36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0.027929</w:t>
            </w:r>
          </w:p>
        </w:tc>
        <w:tc>
          <w:tcPr>
            <w:tcW w:w="1608" w:type="dxa"/>
            <w:vAlign w:val="center"/>
          </w:tcPr>
          <w:p w14:paraId="347DA915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0.028102</w:t>
            </w:r>
          </w:p>
        </w:tc>
        <w:tc>
          <w:tcPr>
            <w:tcW w:w="1608" w:type="dxa"/>
            <w:vAlign w:val="center"/>
          </w:tcPr>
          <w:p w14:paraId="5D280E2F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0.000173</w:t>
            </w:r>
          </w:p>
        </w:tc>
        <w:tc>
          <w:tcPr>
            <w:tcW w:w="1608" w:type="dxa"/>
            <w:vAlign w:val="center"/>
          </w:tcPr>
          <w:p w14:paraId="36EAD528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0.62%</w:t>
            </w:r>
          </w:p>
        </w:tc>
        <w:tc>
          <w:tcPr>
            <w:tcW w:w="1608" w:type="dxa"/>
            <w:vAlign w:val="center"/>
          </w:tcPr>
          <w:p w14:paraId="546CC4D7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0.15</w:t>
            </w:r>
          </w:p>
        </w:tc>
      </w:tr>
      <w:tr w14:paraId="55EE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vAlign w:val="center"/>
          </w:tcPr>
          <w:p w14:paraId="0107CB06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Musical_Instruments</w:t>
            </w:r>
          </w:p>
        </w:tc>
        <w:tc>
          <w:tcPr>
            <w:tcW w:w="1608" w:type="dxa"/>
            <w:vAlign w:val="center"/>
          </w:tcPr>
          <w:p w14:paraId="636F8721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0.030157</w:t>
            </w:r>
          </w:p>
        </w:tc>
        <w:tc>
          <w:tcPr>
            <w:tcW w:w="1608" w:type="dxa"/>
            <w:vAlign w:val="center"/>
          </w:tcPr>
          <w:p w14:paraId="75E15987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0.030364</w:t>
            </w:r>
          </w:p>
        </w:tc>
        <w:tc>
          <w:tcPr>
            <w:tcW w:w="1608" w:type="dxa"/>
            <w:vAlign w:val="center"/>
          </w:tcPr>
          <w:p w14:paraId="3ACF8E5F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0.000207</w:t>
            </w:r>
          </w:p>
        </w:tc>
        <w:tc>
          <w:tcPr>
            <w:tcW w:w="1608" w:type="dxa"/>
            <w:vAlign w:val="center"/>
          </w:tcPr>
          <w:p w14:paraId="47519715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0.69%</w:t>
            </w:r>
          </w:p>
        </w:tc>
        <w:tc>
          <w:tcPr>
            <w:tcW w:w="1608" w:type="dxa"/>
            <w:vAlign w:val="center"/>
          </w:tcPr>
          <w:p w14:paraId="720A2027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0.17</w:t>
            </w:r>
          </w:p>
        </w:tc>
      </w:tr>
    </w:tbl>
    <w:p w14:paraId="2545F83F"/>
    <w:p w14:paraId="48FBB213">
      <w:pPr>
        <w:jc w:val="center"/>
      </w:pPr>
      <w:r>
        <w:drawing>
          <wp:inline distT="0" distB="0" distL="114300" distR="114300">
            <wp:extent cx="5394960" cy="3159760"/>
            <wp:effectExtent l="0" t="0" r="571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662A">
      <w:pPr>
        <w:jc w:val="center"/>
      </w:pPr>
      <w:r>
        <w:rPr>
          <w:rFonts w:ascii="宋体" w:hAnsi="宋体" w:eastAsia="宋体"/>
          <w:sz w:val="18"/>
        </w:rPr>
        <w:t>图3SASRec细调前后测试NDCG@10对比</w:t>
      </w:r>
    </w:p>
    <w:p w14:paraId="2BDA6AF2">
      <w:pPr>
        <w:spacing w:after="80"/>
        <w:ind w:firstLine="420"/>
      </w:pPr>
      <w:r>
        <w:rPr>
          <w:rFonts w:ascii="宋体" w:hAnsi="宋体" w:eastAsia="宋体"/>
          <w:sz w:val="21"/>
        </w:rPr>
        <w:t>候选覆盖率诊断说明当前结果的主要瓶颈仍在召回阶段。Industrial_and_Scientific中传统候选覆盖率为33.90%，加入SASRec后合并覆盖率提升到35.98%；Musical_Instruments中传统候选覆盖率为39.16%，合并覆盖率提升到41.08%。虽然deep新增覆盖不大，但它确实带来了一部分原候选池没有覆盖到的真实商品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1821"/>
        <w:gridCol w:w="1821"/>
        <w:gridCol w:w="1810"/>
        <w:gridCol w:w="1821"/>
      </w:tblGrid>
      <w:tr w14:paraId="4839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E0C498B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354491C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baseline覆盖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901314B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deep覆盖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DDEFF2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deep新增覆盖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63048FD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合并覆盖</w:t>
            </w:r>
          </w:p>
        </w:tc>
      </w:tr>
      <w:tr w14:paraId="639F7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06157928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Industrial_and_Scientific</w:t>
            </w:r>
          </w:p>
        </w:tc>
        <w:tc>
          <w:tcPr>
            <w:tcW w:w="1930" w:type="dxa"/>
            <w:vAlign w:val="center"/>
          </w:tcPr>
          <w:p w14:paraId="26415F54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3390.41%</w:t>
            </w:r>
          </w:p>
        </w:tc>
        <w:tc>
          <w:tcPr>
            <w:tcW w:w="1930" w:type="dxa"/>
            <w:vAlign w:val="center"/>
          </w:tcPr>
          <w:p w14:paraId="50B679E8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503.09%</w:t>
            </w:r>
          </w:p>
        </w:tc>
        <w:tc>
          <w:tcPr>
            <w:tcW w:w="1930" w:type="dxa"/>
            <w:vAlign w:val="center"/>
          </w:tcPr>
          <w:p w14:paraId="7CFA723B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207.71%</w:t>
            </w:r>
          </w:p>
        </w:tc>
        <w:tc>
          <w:tcPr>
            <w:tcW w:w="1930" w:type="dxa"/>
            <w:vAlign w:val="center"/>
          </w:tcPr>
          <w:p w14:paraId="66442A44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3598.12%</w:t>
            </w:r>
          </w:p>
        </w:tc>
      </w:tr>
      <w:tr w14:paraId="0679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3F3D3F31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Musical_Instruments</w:t>
            </w:r>
          </w:p>
        </w:tc>
        <w:tc>
          <w:tcPr>
            <w:tcW w:w="1930" w:type="dxa"/>
            <w:vAlign w:val="center"/>
          </w:tcPr>
          <w:p w14:paraId="2CECC047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3915.98%</w:t>
            </w:r>
          </w:p>
        </w:tc>
        <w:tc>
          <w:tcPr>
            <w:tcW w:w="1930" w:type="dxa"/>
            <w:vAlign w:val="center"/>
          </w:tcPr>
          <w:p w14:paraId="05C983A0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1009.42%</w:t>
            </w:r>
          </w:p>
        </w:tc>
        <w:tc>
          <w:tcPr>
            <w:tcW w:w="1930" w:type="dxa"/>
            <w:vAlign w:val="center"/>
          </w:tcPr>
          <w:p w14:paraId="60F9E4EE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191.68%</w:t>
            </w:r>
          </w:p>
        </w:tc>
        <w:tc>
          <w:tcPr>
            <w:tcW w:w="1930" w:type="dxa"/>
            <w:vAlign w:val="center"/>
          </w:tcPr>
          <w:p w14:paraId="74DDC268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4107.66%</w:t>
            </w:r>
          </w:p>
        </w:tc>
      </w:tr>
    </w:tbl>
    <w:p w14:paraId="68557AEF"/>
    <w:p w14:paraId="4098EB08">
      <w:pPr>
        <w:jc w:val="center"/>
      </w:pPr>
      <w:r>
        <w:drawing>
          <wp:inline distT="0" distB="0" distL="114300" distR="114300">
            <wp:extent cx="5394960" cy="3159760"/>
            <wp:effectExtent l="0" t="0" r="571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2248">
      <w:pPr>
        <w:jc w:val="center"/>
      </w:pPr>
      <w:r>
        <w:rPr>
          <w:rFonts w:ascii="宋体" w:hAnsi="宋体" w:eastAsia="宋体"/>
          <w:sz w:val="18"/>
        </w:rPr>
        <w:t>图4候选召回覆盖率诊断</w:t>
      </w:r>
    </w:p>
    <w:p w14:paraId="3CDB951C">
      <w:pPr>
        <w:spacing w:after="80"/>
        <w:ind w:firstLine="420"/>
      </w:pPr>
      <w:r>
        <w:rPr>
          <w:rFonts w:ascii="宋体" w:hAnsi="宋体" w:eastAsia="宋体"/>
          <w:sz w:val="21"/>
        </w:rPr>
        <w:t>从提升幅度看，SASRec增强属于稳健的小幅改进。Industrial_and_Scientific测试NDCG@10从0.027929提高到0.028102，Musical_Instruments从0.030157提高到0.030364；提升幅度不大，但方向一致，并且没有牺牲已有baseline的稳定性。</w:t>
      </w:r>
    </w:p>
    <w:p w14:paraId="50D4E746">
      <w:pPr>
        <w:spacing w:after="80"/>
        <w:ind w:firstLine="420"/>
      </w:pPr>
      <w:r>
        <w:rPr>
          <w:rFonts w:ascii="宋体" w:hAnsi="宋体" w:eastAsia="宋体"/>
          <w:sz w:val="21"/>
        </w:rPr>
        <w:t>从权重结果看，传统共现和文本通道仍是主要贡献来源。两个类别的deep权重分别为0.15和0.17，说明深度召回更适合作为补充通道，而不是替代当前多路召回baseline。该结论也符合候选覆盖率结果：deep候选能够带来新增命中，但新增比例还不足以单独主导排序。</w:t>
      </w:r>
    </w:p>
    <w:p w14:paraId="63ED87E6">
      <w:pPr>
        <w:pStyle w:val="4"/>
        <w:spacing w:before="200" w:after="120"/>
      </w:pPr>
      <w:r>
        <w:rPr>
          <w:rFonts w:ascii="黑体" w:hAnsi="黑体" w:eastAsia="黑体"/>
          <w:b/>
          <w:sz w:val="28"/>
        </w:rPr>
        <w:t>五、总结</w:t>
      </w:r>
    </w:p>
    <w:p w14:paraId="63C88CF3">
      <w:pPr>
        <w:spacing w:after="80"/>
        <w:ind w:firstLine="420"/>
      </w:pPr>
      <w:r>
        <w:rPr>
          <w:rFonts w:ascii="宋体" w:hAnsi="宋体" w:eastAsia="宋体"/>
          <w:sz w:val="21"/>
        </w:rPr>
        <w:t>本次大作业完成了一个可复现的Top-K商品推荐流水线。代码能够读取三类Amazon Reviews 2023数据，融合交互序列、metadata文本和review文本信息，在验证集上搜索权重，并在测试集上输出Top-10预测和NDCG@10。</w:t>
      </w:r>
    </w:p>
    <w:p w14:paraId="17905DA5">
      <w:pPr>
        <w:spacing w:after="80"/>
        <w:ind w:firstLine="420"/>
      </w:pPr>
      <w:r>
        <w:rPr>
          <w:rFonts w:ascii="宋体" w:hAnsi="宋体" w:eastAsia="宋体"/>
          <w:sz w:val="21"/>
        </w:rPr>
        <w:t>最终完整测试结果以weighted baseline三类结果为基础，其中Industrial_and_Scientific、Musical_Instruments和CDs_and_Vinyl的测试NDCG@10分别为0.027929、0.030157和0.057435。在已有两个类别的增强实验中，SASRec细调进一步把前两个类别提高到0.028102和0.030364。</w:t>
      </w:r>
    </w:p>
    <w:p w14:paraId="049179C0">
      <w:pPr>
        <w:spacing w:after="80"/>
        <w:ind w:firstLine="420"/>
      </w:pPr>
      <w:r>
        <w:rPr>
          <w:rFonts w:ascii="宋体" w:hAnsi="宋体" w:eastAsia="宋体"/>
          <w:sz w:val="21"/>
        </w:rPr>
        <w:t>实验结果表明，当前任务中召回覆盖率是影响上限的重要因素。传统共现和文本召回能够提供稳定基础，SASRec可以补充部分新增候选，但新增覆盖比例仍然有限。若继续改进，应优先围绕召回池扩展、序列模型训练样本构造和文本召回噪声控制展开，而不是单纯增加排序模型复杂度。</w:t>
      </w:r>
    </w:p>
    <w:p w14:paraId="44D9339C">
      <w:pPr>
        <w:spacing w:after="80"/>
        <w:ind w:firstLine="420"/>
      </w:pPr>
      <w:r>
        <w:rPr>
          <w:rFonts w:ascii="宋体" w:hAnsi="宋体" w:eastAsia="宋体"/>
          <w:sz w:val="21"/>
        </w:rPr>
        <w:t>本报告中的结果均来自项目输出CSV文件，测试阶段未使用测试集信息参与训练、调权或候选构建。缓存机制只用于减少重复解析和重复建模时间，不改变数据可见范围，因此实验过程能够重复运行并得到一致结果。</w:t>
      </w:r>
    </w:p>
    <w:sectPr>
      <w:headerReference r:id="rId5" w:type="default"/>
      <w:footerReference r:id="rId6" w:type="default"/>
      <w:pgSz w:w="12240" w:h="15840"/>
      <w:pgMar w:top="1296" w:right="1296" w:bottom="1296" w:left="1296" w:header="648" w:footer="648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02D9C">
    <w:pPr>
      <w:pStyle w:val="25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7904DB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7904DB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827AE">
    <w:pPr>
      <w:pStyle w:val="25"/>
      <w:jc w:val="center"/>
      <w:rPr>
        <w:sz w:val="18"/>
      </w:rPr>
    </w:pPr>
  </w:p>
  <w:p w14:paraId="3A7EF6FF">
    <w:pPr>
      <w:pStyle w:val="25"/>
      <w:jc w:val="center"/>
    </w:pPr>
    <w:r>
      <w:rPr>
        <w:rFonts w:hint="eastAsia"/>
      </w:rPr>
      <w:t>基于Amazon Reviews 2023的Top-K商品推荐实验报告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F62AE1"/>
    <w:rsid w:val="43951BDC"/>
    <w:rsid w:val="4FFB5466"/>
    <w:rsid w:val="76B7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0"/>
      <w:szCs w:val="28"/>
    </w:rPr>
  </w:style>
  <w:style w:type="paragraph" w:styleId="4">
    <w:name w:val="heading 2"/>
    <w:basedOn w:val="5"/>
    <w:next w:val="1"/>
    <w:link w:val="140"/>
    <w:unhideWhenUsed/>
    <w:qFormat/>
    <w:uiPriority w:val="9"/>
    <w:pPr>
      <w:keepNext/>
      <w:keepLines/>
      <w:spacing w:before="200" w:after="10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5"/>
      <w:szCs w:val="26"/>
      <w14:textFill>
        <w14:solidFill>
          <w14:schemeClr w14:val="tx1"/>
        </w14:solidFill>
      </w14:textFill>
    </w:rPr>
  </w:style>
  <w:style w:type="paragraph" w:styleId="6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7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4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  <w:jc w:val="center"/>
    </w:pPr>
    <w:rPr>
      <w:rFonts w:asciiTheme="majorHAnsi" w:hAnsiTheme="majorHAnsi" w:eastAsiaTheme="majorEastAsia" w:cstheme="majorBidi"/>
      <w:color w:val="0B2545"/>
      <w:spacing w:val="5"/>
      <w:kern w:val="28"/>
      <w:sz w:val="40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1">
    <w:name w:val="Heading 3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4">
    <w:name w:val="Body Text Char"/>
    <w:basedOn w:val="133"/>
    <w:link w:val="20"/>
    <w:qFormat/>
    <w:uiPriority w:val="99"/>
  </w:style>
  <w:style w:type="character" w:customStyle="1" w:styleId="145">
    <w:name w:val="Body Text 2 Char"/>
    <w:basedOn w:val="133"/>
    <w:link w:val="29"/>
    <w:qFormat/>
    <w:uiPriority w:val="99"/>
  </w:style>
  <w:style w:type="character" w:customStyle="1" w:styleId="146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7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3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3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3"/>
    <w:link w:val="1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3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2510</Words>
  <Characters>3480</Characters>
  <Lines>0</Lines>
  <Paragraphs>0</Paragraphs>
  <TotalTime>11</TotalTime>
  <ScaleCrop>false</ScaleCrop>
  <LinksUpToDate>false</LinksUpToDate>
  <CharactersWithSpaces>3492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张硕(2025210318)</cp:lastModifiedBy>
  <dcterms:modified xsi:type="dcterms:W3CDTF">2026-05-28T15:34:51Z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eyJoZGlkIjoiYWRkZjQ2YzQ2MjVkN2I3ZTBkMTRiZDFmYWNhYmQwMGEiLCJ1c2VySWQiOiIxNzMyMjYzMjAxIn0=</vt:lpwstr>
  </property>
  <property fmtid="{D5CDD505-2E9C-101B-9397-08002B2CF9AE}" pid="3" name="KSOProductBuildVer">
    <vt:lpwstr>2052-12.1.0.23542</vt:lpwstr>
  </property>
  <property fmtid="{D5CDD505-2E9C-101B-9397-08002B2CF9AE}" pid="4" name="ICV">
    <vt:lpwstr>8C1F0D88821F4965AF0E36410FF80A7D_12</vt:lpwstr>
  </property>
</Properties>
</file>