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10393">
      <w:pPr>
        <w:pStyle w:val="34"/>
        <w:widowControl/>
      </w:pPr>
      <w:r>
        <w:t>外卖配送任务分配AutoSolver Agent技术报告</w:t>
      </w:r>
    </w:p>
    <w:p w14:paraId="4C506AA4">
      <w:pPr>
        <w:pStyle w:val="19"/>
        <w:widowControl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姓名：张同学   学号：   日期：2026年6月7日</w:t>
      </w:r>
    </w:p>
    <w:p w14:paraId="4F7AA51A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Toc26196"/>
      <w:r>
        <w:rPr>
          <w:rFonts w:hint="eastAsia"/>
          <w:lang w:eastAsia="zh-CN"/>
        </w:rPr>
        <w:t>一、</w:t>
      </w:r>
      <w:r>
        <w:t>任务理解与设计目标</w:t>
      </w:r>
      <w:bookmarkEnd w:id="0"/>
    </w:p>
    <w:p w14:paraId="700CA9C3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外卖配送任务分配问题的核心是在接单概率、配送分数和合单机会之间做稳定权衡。本项目面对的输入不是原始地图和路径，而是已经预计算好的任务组、骑手、total_score和willingness组合；系统需要从这些候选组合中选择若干行输出，使订单尽可能被接起，同时让期望惩罚分数尽可能低。由于一个订单可以同时指派给多位骑手，合单任务也可能覆盖多个订单，简单的一对一匹配无法完整表达题目结</w:t>
      </w:r>
      <w:bookmarkStart w:id="8" w:name="_GoBack"/>
      <w:bookmarkEnd w:id="8"/>
      <w:r>
        <w:rPr>
          <w:rFonts w:ascii="Times New Roman" w:hAnsi="Times New Roman" w:eastAsia="宋体" w:cs="Times New Roman"/>
          <w:sz w:val="24"/>
          <w:szCs w:val="24"/>
        </w:rPr>
        <w:t>构。</w:t>
      </w:r>
    </w:p>
    <w:p w14:paraId="7B5237C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把比赛要求理解为一个自动研究型求解器生成问题，而不是只写一次固定启发式。评委更关注系统是否能自主尝试不同策略、是否能在每次实验后自动评估并保留更优结果，因此项目设计的重点放在AutoSolver Agent闭环上：由Agent读取算例特征和算法组件，调用大模型生成候选solver.py，再用本地评测结果反向约束下一轮生成方向。</w:t>
      </w:r>
    </w:p>
    <w:p w14:paraId="590DA7F8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最终交付仍然是一个满足比赛接口的solver.py文件。solve(input_text: str)函数内部不能依赖外部网络、文件系统或第三方包，需要在10秒限制内返回[(task id list,[courier id]),...]形式的方案；因此Agent阶段可以较重，最终solver阶段必须轻量、独立、可复现。</w:t>
      </w:r>
    </w:p>
    <w:p w14:paraId="65087BE2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1" w:name="_Toc8023"/>
      <w:r>
        <w:rPr>
          <w:rFonts w:hint="eastAsia"/>
          <w:lang w:eastAsia="zh-CN"/>
        </w:rPr>
        <w:t>二、</w:t>
      </w:r>
      <w:r>
        <w:t>系统总体设计</w:t>
      </w:r>
      <w:bookmarkEnd w:id="1"/>
    </w:p>
    <w:p w14:paraId="641C471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采用“离线自动研究、在线轻量求解”的两层结构。离线阶段由autosolver_agent.py负责组织多轮实验，在线提交阶段只保留生成出的best_generated.py或final_generated.py中的solve函数。这样的分层能让LLM探索、代码生成和多轮评估发生在赛前，同时保证提交文件运行时没有额外依赖。</w:t>
      </w:r>
    </w:p>
    <w:p w14:paraId="56E032DF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算法知识以组件库形式提供给Agent，而不是把完整最终答案直接固定下来。algorithm_components目录下包含输入解析、目标函数、初始构造、匹配骨架、局部搜索和搜索调度等模块，Agent会按阶段把这些材料节选进提示词，让LLM在可控范围内选择、组合和改写策略。这个设计避免了每轮只做随机改参数，也让每次候选代码都能表达一个明确的算法假设。</w:t>
      </w:r>
    </w:p>
    <w:p w14:paraId="1EAC907B">
      <w:r>
        <w:drawing>
          <wp:inline distT="0" distB="0" distL="114300" distR="114300">
            <wp:extent cx="5669280" cy="31889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D2212">
      <w:pPr>
        <w:pStyle w:val="168"/>
        <w:widowControl/>
      </w:pPr>
      <w:r>
        <w:t>图1AutoSolver Agent自动研究闭环。</w:t>
      </w:r>
    </w:p>
    <w:p w14:paraId="155F2A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系统支持单算例和多算例两种运行方式。单算例运行适合针对某个目标case做深挖，让提示词和搜索预算集中服务于一个算例；多算例运行适合检验求解器在不同规模、不同骑手密度和不同接单意愿场景下的稳定性，Agent会用聚合覆盖数和聚合惩罚分筛选候选代码。</w:t>
      </w:r>
    </w:p>
    <w:p w14:paraId="30470C6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报告中的large_seed301是真实算例，其余9个case为围绕不同场景生成的虚拟算例。虚拟算例包括tiny、small、medium、large、low_willingness、scarce_couriers和high_noise等类型，作用是让Agent在公开真实case之外接受泛化压力，避免策略只贴合单一输入。</w:t>
      </w:r>
    </w:p>
    <w:p w14:paraId="50D63EFB">
      <w:r>
        <w:drawing>
          <wp:inline distT="0" distB="0" distL="114300" distR="114300">
            <wp:extent cx="5669280" cy="3188970"/>
            <wp:effectExtent l="0" t="0" r="762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5B8DD">
      <w:pPr>
        <w:pStyle w:val="168"/>
        <w:widowControl/>
      </w:pPr>
      <w:r>
        <w:t>图2真实算例与虚拟算例的实验角色。</w:t>
      </w:r>
    </w:p>
    <w:p w14:paraId="7C14EE7D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2" w:name="_Toc10568"/>
      <w:r>
        <w:rPr>
          <w:rFonts w:hint="eastAsia"/>
          <w:lang w:eastAsia="zh-CN"/>
        </w:rPr>
        <w:t>三、</w:t>
      </w:r>
      <w:r>
        <w:t>自主策略探索机制</w:t>
      </w:r>
      <w:bookmarkEnd w:id="2"/>
    </w:p>
    <w:p w14:paraId="52191662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主探索不是让模型随意生成代码，而是让模型在受约束的策略空间中提出可验证实验。Agent会把算例画像写入提示词，例如large_seed301包含40个任务、80个骑手、820个任务组、33780个候选组合，且具有large、rider_rich、pair_heavy等标签；这些特征会引导模型优先考虑合单、骑手富余和局部换骑手策略。</w:t>
      </w:r>
    </w:p>
    <w:p w14:paraId="0895A8E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组件释放采用课程式和自适应结合的方式。第一轮只开放基础解析、目标函数、贪心构造、合单种子和少量局部搜索，目标是得到第一个有效solver；当系统已经覆盖全部任务后，后续轮次会把重点切换到降低惩罚分数，并开放repair_window、bundle_plan_seed、cycle_riders、path_riders、config_polish、LNS和全局orchestration等更强组件。</w:t>
      </w:r>
    </w:p>
    <w:p w14:paraId="6C76063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算例模式下，Agent的优化焦点更集中。以large_seed301为例，界面只选择该真实case时，系统会围绕40个任务和80个骑手的rider_rich、pair_heavy结构持续调整搜索方向，最终在截图所示运行中得到覆盖40、惩罚分652.769的结果。</w:t>
      </w:r>
    </w:p>
    <w:p w14:paraId="426B888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算例模式下，Agent的探索目标从“某一题做到更低”转为“整体组合更稳”。多算例运行同时包含1个真实算例和9个生成虚拟算例，候选solver必须在聚合指标上超过当前最优才会被接受，因此更能体现自动研究过程的泛化约束。</w:t>
      </w:r>
    </w:p>
    <w:p w14:paraId="7E9D831C">
      <w:pPr>
        <w:pStyle w:val="3"/>
        <w:keepNext/>
        <w:pageBreakBefore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3" w:name="_Toc22969"/>
      <w:r>
        <w:rPr>
          <w:rFonts w:hint="eastAsia"/>
          <w:lang w:eastAsia="zh-CN"/>
        </w:rPr>
        <w:t>四、</w:t>
      </w:r>
      <w:r>
        <w:t>候选求解器评估与筛选</w:t>
      </w:r>
      <w:bookmarkEnd w:id="3"/>
    </w:p>
    <w:p w14:paraId="060D6FF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自动评估使用统一的代理目标函数，避免依赖人工主观判断。对每个任务组和骑手集合，系统根据willingness计算至少一名骑手接单的概率，同时用total_score估计接起后的期望成本；若任务未被接起，则按每个任务100分加入拒单惩罚。整体比较规则是先最大化覆盖任务数，再最小化惩罚分数。</w:t>
      </w:r>
    </w:p>
    <w:p w14:paraId="01845CB6">
      <w:r>
        <w:drawing>
          <wp:inline distT="0" distB="0" distL="114300" distR="114300">
            <wp:extent cx="5669280" cy="3188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90D9">
      <w:pPr>
        <w:pStyle w:val="168"/>
        <w:widowControl/>
      </w:pPr>
      <w:r>
        <w:t>图3代理目标函数把接单概率、score和拒单惩罚统一到同一评估分数中。</w:t>
      </w:r>
    </w:p>
    <w:p w14:paraId="3AC9874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候选代码进入评测前会先经过静态保护。检查内容包括必须定义solve(input_text)，不能超过大小限制，不能使用不允许的导入，不能依赖网络、子进程或硬编码算例名称，并保持Python 3.6兼容。这个环节可以提前过滤明显不符合提交要求的生成结果，降低后续评测成本。</w:t>
      </w:r>
    </w:p>
    <w:p w14:paraId="2E1F6E5B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评测通过后，Agent只在候选结果优于当前最优解时更新best_generated.py。对于单算例运行，比较对象是该case的覆盖数和惩罚分；对于多算例运行，比较对象是全部case的聚合覆盖数和聚合惩罚分。这个统一规则让系统既能做专项优化，也能做跨场景筛选。</w:t>
      </w:r>
    </w:p>
    <w:p w14:paraId="4977322F">
      <w:pPr>
        <w:pStyle w:val="3"/>
        <w:keepNext/>
        <w:pageBreakBefore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4" w:name="_Toc22027"/>
      <w:r>
        <w:rPr>
          <w:rFonts w:hint="eastAsia"/>
          <w:lang w:eastAsia="zh-CN"/>
        </w:rPr>
        <w:t>五、</w:t>
      </w:r>
      <w:r>
        <w:t>最终solver算法设计</w:t>
      </w:r>
      <w:bookmarkEnd w:id="4"/>
    </w:p>
    <w:p w14:paraId="7595FBC6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solver采用组合启发式结构，在有限时间内不断构造和改良方案。输入解析阶段会规范化task_id_list，把单单和合单任务都映射成bitmask，并对同一任务组-骑手组合只保留total_score更低的候选，从源头减少重复候选带来的搜索噪声。</w:t>
      </w:r>
    </w:p>
    <w:p w14:paraId="700C396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目标函数把“多骑手同时指派”的不确定性显式纳入计算。对于一个任务组，如果指派多个骑手，拒单概率为各骑手拒绝概率的乘积，接单收益按接单概率和score加权估计；若所有骑手都不接，则按任务数乘以100加入惩罚。这个代理目标虽然不是完整真实世界仿真，但能稳定指导搜索朝高willingness、低score和低拒单风险方向移动。</w:t>
      </w:r>
    </w:p>
    <w:p w14:paraId="7E217E7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初始解构造采用多种贪心和合单种子。程序会根据score、willingness、任务组大小和单位惩罚收益排序，优先选择不冲突的任务组和骑手；在pair-heavy场景下，pair_plan_seed会优先利用两单合并的候选，减少骑手资源浪费。若复杂构造失败，greedy路径仍然能提供合法兜底解。</w:t>
      </w:r>
    </w:p>
    <w:p w14:paraId="66D7E1CA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局部改良负责把初始解从“能覆盖”推进到“更低成本”。expand会给已选任务组追加可降低拒单风险的骑手，reassign会在同一任务组内替换更合适的骑手，move_extra和swap_riders会在任务组之间移动或交换骑手，cycle_riders与path_riders进一步搜索多骑手替换链。所有改良都以惩罚分数下降为接受条件，因此不会主动破坏当前方案。</w:t>
      </w:r>
    </w:p>
    <w:p w14:paraId="38425BB0">
      <w:r>
        <w:drawing>
          <wp:inline distT="0" distB="0" distL="114300" distR="114300">
            <wp:extent cx="5669280" cy="3188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7184">
      <w:pPr>
        <w:pStyle w:val="168"/>
        <w:widowControl/>
      </w:pPr>
      <w:r>
        <w:t>图4最终solver的组合启发式结构。</w:t>
      </w:r>
    </w:p>
    <w:p w14:paraId="37602F4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时间预算是最终solver能够提交的关键约束。代码设置接近10秒但略有余量的deadline，在循环中周期性检查time.perf_counter()，大规模搜索会在剩余时间不足时提前退出。这样既能在单算例模式下尽量深挖一个case，也能在多算例模式下让每个case都在限制内完成评测。</w:t>
      </w:r>
    </w:p>
    <w:p w14:paraId="7E5D7B48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5" w:name="_Toc3796"/>
      <w:r>
        <w:rPr>
          <w:rFonts w:hint="eastAsia"/>
          <w:lang w:eastAsia="zh-CN"/>
        </w:rPr>
        <w:t>六、</w:t>
      </w:r>
      <w:r>
        <w:t>UI界面与使用流程</w:t>
      </w:r>
      <w:bookmarkEnd w:id="5"/>
    </w:p>
    <w:p w14:paraId="4877C297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项目提供dashboard.py作为可视化操作入口，用于把命令行Agent流程封装成更容易复现实验的界面。用户通过start_dashboard.bat启动Streamlit界面后，可以在页面中选择测试算例、模型预设、生成轮数、单轮超时时间、提示词模式、组件字符预算和best代码回填长度等参数。</w:t>
      </w:r>
    </w:p>
    <w:p w14:paraId="679FCAED">
      <w:r>
        <w:drawing>
          <wp:inline distT="0" distB="0" distL="114300" distR="114300">
            <wp:extent cx="5669280" cy="30714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661D">
      <w:pPr>
        <w:pStyle w:val="168"/>
        <w:widowControl/>
      </w:pPr>
      <w:r>
        <w:t>图5UI初始界面：选择case、设置迭代轮数后，点击“启动Agent”即可开始生成solver.py。</w:t>
      </w:r>
    </w:p>
    <w:p w14:paraId="2B3614E4">
      <w:pPr>
        <w:pStyle w:val="19"/>
        <w:widowControl/>
        <w:numPr>
          <w:numId w:val="0"/>
        </w:numPr>
        <w:ind w:left="0" w:leftChars="0" w:firstLine="48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UI </w:t>
      </w:r>
      <w:r>
        <w:rPr>
          <w:rFonts w:ascii="Times New Roman" w:hAnsi="Times New Roman" w:eastAsia="宋体" w:cs="Times New Roman"/>
          <w:sz w:val="24"/>
          <w:szCs w:val="24"/>
        </w:rPr>
        <w:t>的核心使用流程是“选择算例—配置实验—启动运行—观察结果—导出最优解”。在算例选择区只勾选large_seed301.txt时，系统进入单算例训练/评测模式；同时勾选多个case时，系统进入多算例模式，界面会提示当前选择数量，并在上传网站前支持用部分case进行训练和预测。</w:t>
      </w:r>
    </w:p>
    <w:p w14:paraId="5DA404D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过程中，UI会持续读取agent.log、history.jsonl和summary.md展示实验进展。用户可以看到每一轮候选的状态、是否被接受、覆盖任务数、惩罚分数、运行时间和拒绝原因；当出现多变体对决时，界面也会展示refine和recompose的胜出情况。这个界面让迭代过程不再只是日志文件，而是可观察、可复盘的实验记录。</w:t>
      </w:r>
    </w:p>
    <w:p w14:paraId="6268A0B3">
      <w:pPr>
        <w:pStyle w:val="19"/>
        <w:widowControl/>
        <w:numPr>
          <w:numId w:val="0"/>
        </w:numPr>
        <w:ind w:left="0" w:leftChars="0" w:firstLine="480"/>
        <w:rPr>
          <w:rFonts w:hint="eastAsia" w:ascii="宋体" w:hAnsi="宋体" w:eastAsia="宋体" w:cs="宋体"/>
          <w:b w:val="0"/>
          <w:sz w:val="24"/>
          <w:szCs w:val="24"/>
          <w:bdr w:val="none" w:sz="0" w:space="0"/>
        </w:rPr>
      </w:pPr>
      <w:r>
        <w:rPr>
          <w:rFonts w:hint="eastAsia" w:cs="Times New Roman"/>
          <w:sz w:val="24"/>
          <w:szCs w:val="24"/>
          <w:lang w:eastAsia="zh-CN"/>
        </w:rPr>
        <w:t xml:space="preserve">UII </w:t>
      </w:r>
      <w:r>
        <w:rPr>
          <w:rFonts w:ascii="Times New Roman" w:hAnsi="Times New Roman" w:eastAsia="宋体" w:cs="Times New Roman"/>
          <w:sz w:val="24"/>
          <w:szCs w:val="24"/>
        </w:rPr>
        <w:t>还承担了最终文件管理功能。每次运行的最优候选会保存为best_generated.py，候选源码和大模型原始回复会保存在candidates目录下；当用户确认某次运行效果最好时，可以把best_generated.py应用到提交路径，得到最终solver.py或final_generated.py。报告中的运行截图分别对应UI初始状态、单算例运行和多算例运行。</w:t>
      </w:r>
    </w:p>
    <w:p w14:paraId="7BF77C97">
      <w:pPr>
        <w:pStyle w:val="3"/>
        <w:keepNext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6" w:name="_Toc5933"/>
      <w:r>
        <w:rPr>
          <w:rFonts w:hint="eastAsia"/>
          <w:lang w:eastAsia="zh-CN"/>
        </w:rPr>
        <w:t>七、</w:t>
      </w:r>
      <w:r>
        <w:t>运行结果与迭代分析</w:t>
      </w:r>
      <w:bookmarkEnd w:id="6"/>
    </w:p>
    <w:p w14:paraId="4904E4C4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算例运行验证了Agent可以把搜索集中到一个真实目标case上。截图中只选择large_seed301.txt，系统完成6轮迭代，最佳覆盖数为40，最佳惩罚分为652.769，Case表现诊断显示完成算例1/1。该模式适合比赛中针对真实公开算例反复压分，也适合调试某一类结构的策略是否有效。</w:t>
      </w:r>
    </w:p>
    <w:p w14:paraId="6FC7562C">
      <w:r>
        <w:drawing>
          <wp:inline distT="0" distB="0" distL="114300" distR="114300">
            <wp:extent cx="5669280" cy="3067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5952">
      <w:pPr>
        <w:pStyle w:val="168"/>
        <w:widowControl/>
      </w:pPr>
      <w:r>
        <w:t>图6单算例运行界面：large_seed301在6轮迭代后达到覆盖40、最佳惩罚分652.769。</w:t>
      </w:r>
    </w:p>
    <w:p w14:paraId="398F8140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算例运行验证了Agent可以在更复杂的组合场景中同时优化多个case。截图中选择10个测试用例，其中large_seed301为真实算例，其余9个为生成的虚拟算例，最终最佳覆盖数为291，最佳惩罚分为5944.641，完成算例10/10。该模式更接近最终提交前的稳健性检查，因为候选代码不能只服务于一个case。</w:t>
      </w:r>
    </w:p>
    <w:p w14:paraId="3A8A18B2">
      <w:r>
        <w:drawing>
          <wp:inline distT="0" distB="0" distL="114300" distR="114300">
            <wp:extent cx="5669280" cy="3062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47E6">
      <w:pPr>
        <w:pStyle w:val="168"/>
        <w:widowControl/>
      </w:pPr>
      <w:r>
        <w:t>图7多算例运行界面：1个真实case和9个虚拟case共同评测，最终聚合覆盖291、聚合惩罚分5944.641。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378"/>
        <w:gridCol w:w="1467"/>
        <w:gridCol w:w="1378"/>
        <w:gridCol w:w="1378"/>
        <w:gridCol w:w="1378"/>
        <w:gridCol w:w="1378"/>
      </w:tblGrid>
      <w:tr w14:paraId="5C607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29D8D898">
            <w:r>
              <w:t>模式</w:t>
            </w:r>
          </w:p>
        </w:tc>
        <w:tc>
          <w:tcPr>
            <w:tcW w:w="1378" w:type="dxa"/>
            <w:vAlign w:val="center"/>
          </w:tcPr>
          <w:p w14:paraId="15BC1B53">
            <w:r>
              <w:t>算例来源</w:t>
            </w:r>
          </w:p>
        </w:tc>
        <w:tc>
          <w:tcPr>
            <w:tcW w:w="1378" w:type="dxa"/>
            <w:vAlign w:val="center"/>
          </w:tcPr>
          <w:p w14:paraId="246E54A9">
            <w:r>
              <w:t>选择case</w:t>
            </w:r>
          </w:p>
        </w:tc>
        <w:tc>
          <w:tcPr>
            <w:tcW w:w="1378" w:type="dxa"/>
            <w:vAlign w:val="center"/>
          </w:tcPr>
          <w:p w14:paraId="376D67D4">
            <w:r>
              <w:t>迭代轮数</w:t>
            </w:r>
          </w:p>
        </w:tc>
        <w:tc>
          <w:tcPr>
            <w:tcW w:w="1378" w:type="dxa"/>
            <w:vAlign w:val="center"/>
          </w:tcPr>
          <w:p w14:paraId="5478B1EF">
            <w:r>
              <w:t>最佳覆盖</w:t>
            </w:r>
          </w:p>
        </w:tc>
        <w:tc>
          <w:tcPr>
            <w:tcW w:w="1378" w:type="dxa"/>
            <w:vAlign w:val="center"/>
          </w:tcPr>
          <w:p w14:paraId="521463B9">
            <w:r>
              <w:t>最佳惩罚分</w:t>
            </w:r>
          </w:p>
        </w:tc>
        <w:tc>
          <w:tcPr>
            <w:tcW w:w="1378" w:type="dxa"/>
            <w:vAlign w:val="center"/>
          </w:tcPr>
          <w:p w14:paraId="325179C4">
            <w:r>
              <w:t>完成情况</w:t>
            </w:r>
          </w:p>
        </w:tc>
      </w:tr>
      <w:tr w14:paraId="3965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631FBA2E">
            <w:r>
              <w:t>单算例</w:t>
            </w:r>
          </w:p>
        </w:tc>
        <w:tc>
          <w:tcPr>
            <w:tcW w:w="1378" w:type="dxa"/>
            <w:vAlign w:val="center"/>
          </w:tcPr>
          <w:p w14:paraId="1871DA3B">
            <w:r>
              <w:t>真实算例</w:t>
            </w:r>
          </w:p>
        </w:tc>
        <w:tc>
          <w:tcPr>
            <w:tcW w:w="1378" w:type="dxa"/>
            <w:vAlign w:val="center"/>
          </w:tcPr>
          <w:p w14:paraId="67CF9CE3">
            <w:r>
              <w:t>large_seed301</w:t>
            </w:r>
          </w:p>
        </w:tc>
        <w:tc>
          <w:tcPr>
            <w:tcW w:w="1378" w:type="dxa"/>
            <w:vAlign w:val="center"/>
          </w:tcPr>
          <w:p w14:paraId="2D20A860">
            <w:r>
              <w:t>6</w:t>
            </w:r>
          </w:p>
        </w:tc>
        <w:tc>
          <w:tcPr>
            <w:tcW w:w="1378" w:type="dxa"/>
            <w:vAlign w:val="center"/>
          </w:tcPr>
          <w:p w14:paraId="136D689D">
            <w:r>
              <w:t>40</w:t>
            </w:r>
          </w:p>
        </w:tc>
        <w:tc>
          <w:tcPr>
            <w:tcW w:w="1378" w:type="dxa"/>
            <w:vAlign w:val="center"/>
          </w:tcPr>
          <w:p w14:paraId="135A8AC0">
            <w:r>
              <w:t>652.769</w:t>
            </w:r>
          </w:p>
        </w:tc>
        <w:tc>
          <w:tcPr>
            <w:tcW w:w="1378" w:type="dxa"/>
            <w:vAlign w:val="center"/>
          </w:tcPr>
          <w:p w14:paraId="2B920787">
            <w:r>
              <w:t>1/1</w:t>
            </w:r>
          </w:p>
        </w:tc>
      </w:tr>
      <w:tr w14:paraId="263A7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2D08F773">
            <w:r>
              <w:t>多算例</w:t>
            </w:r>
          </w:p>
        </w:tc>
        <w:tc>
          <w:tcPr>
            <w:tcW w:w="1378" w:type="dxa"/>
            <w:vAlign w:val="center"/>
          </w:tcPr>
          <w:p w14:paraId="6E133FF5">
            <w:r>
              <w:t>1真+9虚拟</w:t>
            </w:r>
          </w:p>
        </w:tc>
        <w:tc>
          <w:tcPr>
            <w:tcW w:w="1378" w:type="dxa"/>
            <w:vAlign w:val="center"/>
          </w:tcPr>
          <w:p w14:paraId="249ACADD">
            <w:r>
              <w:t>10个case</w:t>
            </w:r>
          </w:p>
        </w:tc>
        <w:tc>
          <w:tcPr>
            <w:tcW w:w="1378" w:type="dxa"/>
            <w:vAlign w:val="center"/>
          </w:tcPr>
          <w:p w14:paraId="1E0F2336">
            <w:r>
              <w:t>6</w:t>
            </w:r>
          </w:p>
        </w:tc>
        <w:tc>
          <w:tcPr>
            <w:tcW w:w="1378" w:type="dxa"/>
            <w:vAlign w:val="center"/>
          </w:tcPr>
          <w:p w14:paraId="354B7513">
            <w:r>
              <w:t>291</w:t>
            </w:r>
          </w:p>
        </w:tc>
        <w:tc>
          <w:tcPr>
            <w:tcW w:w="1378" w:type="dxa"/>
            <w:vAlign w:val="center"/>
          </w:tcPr>
          <w:p w14:paraId="4DBA0703">
            <w:r>
              <w:t>5944.641</w:t>
            </w:r>
          </w:p>
        </w:tc>
        <w:tc>
          <w:tcPr>
            <w:tcW w:w="1378" w:type="dxa"/>
            <w:vAlign w:val="center"/>
          </w:tcPr>
          <w:p w14:paraId="66B13BA4">
            <w:r>
              <w:t>10/10</w:t>
            </w:r>
          </w:p>
        </w:tc>
      </w:tr>
    </w:tbl>
    <w:p w14:paraId="05F9485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多算例summary进一步说明了多轮自动迭代的收益。第1轮得到首个有效solver，聚合覆盖287、惩罚分6630.350017；第2轮提升到覆盖289、惩罚分6547.527203；第3轮结果重复而被拒绝；第4轮通过refine降到6496.030467；第5轮覆盖提升到291且惩罚分降到6209.573021；第6轮recompose继续降到5944.641255并被接受。</w:t>
      </w:r>
    </w:p>
    <w:p w14:paraId="3FAF8CE2">
      <w:r>
        <w:drawing>
          <wp:inline distT="0" distB="0" distL="114300" distR="114300">
            <wp:extent cx="5669280" cy="31889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6DF3">
      <w:pPr>
        <w:pStyle w:val="168"/>
        <w:widowControl/>
      </w:pPr>
      <w:r>
        <w:t>图8多算例聚合惩罚分随迭代轮次下降。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 w14:paraId="79E2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4A0779E0">
            <w:r>
              <w:t>轮次</w:t>
            </w:r>
          </w:p>
        </w:tc>
        <w:tc>
          <w:tcPr>
            <w:tcW w:w="1608" w:type="dxa"/>
            <w:vAlign w:val="center"/>
          </w:tcPr>
          <w:p w14:paraId="32412970">
            <w:r>
              <w:t>状态</w:t>
            </w:r>
          </w:p>
        </w:tc>
        <w:tc>
          <w:tcPr>
            <w:tcW w:w="1608" w:type="dxa"/>
            <w:vAlign w:val="center"/>
          </w:tcPr>
          <w:p w14:paraId="757DEC86">
            <w:r>
              <w:t>胜出变体</w:t>
            </w:r>
          </w:p>
        </w:tc>
        <w:tc>
          <w:tcPr>
            <w:tcW w:w="1608" w:type="dxa"/>
            <w:vAlign w:val="center"/>
          </w:tcPr>
          <w:p w14:paraId="10227F2E">
            <w:r>
              <w:t>聚合覆盖</w:t>
            </w:r>
          </w:p>
        </w:tc>
        <w:tc>
          <w:tcPr>
            <w:tcW w:w="1608" w:type="dxa"/>
            <w:vAlign w:val="center"/>
          </w:tcPr>
          <w:p w14:paraId="3722D37B">
            <w:r>
              <w:t>聚合惩罚分</w:t>
            </w:r>
          </w:p>
        </w:tc>
        <w:tc>
          <w:tcPr>
            <w:tcW w:w="1608" w:type="dxa"/>
            <w:vAlign w:val="center"/>
          </w:tcPr>
          <w:p w14:paraId="09122BD5">
            <w:r>
              <w:t>决策原因</w:t>
            </w:r>
          </w:p>
        </w:tc>
      </w:tr>
      <w:tr w14:paraId="0DF67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10A9011C">
            <w:r>
              <w:t>1</w:t>
            </w:r>
          </w:p>
        </w:tc>
        <w:tc>
          <w:tcPr>
            <w:tcW w:w="1608" w:type="dxa"/>
            <w:vAlign w:val="center"/>
          </w:tcPr>
          <w:p w14:paraId="52D7344F">
            <w:r>
              <w:t>accepted</w:t>
            </w:r>
          </w:p>
        </w:tc>
        <w:tc>
          <w:tcPr>
            <w:tcW w:w="1608" w:type="dxa"/>
            <w:vAlign w:val="center"/>
          </w:tcPr>
          <w:p w14:paraId="270FDE45">
            <w:r>
              <w:t>candidate</w:t>
            </w:r>
          </w:p>
        </w:tc>
        <w:tc>
          <w:tcPr>
            <w:tcW w:w="1608" w:type="dxa"/>
            <w:vAlign w:val="center"/>
          </w:tcPr>
          <w:p w14:paraId="3287DD79">
            <w:r>
              <w:t>287</w:t>
            </w:r>
          </w:p>
        </w:tc>
        <w:tc>
          <w:tcPr>
            <w:tcW w:w="1608" w:type="dxa"/>
            <w:vAlign w:val="center"/>
          </w:tcPr>
          <w:p w14:paraId="219B0F15">
            <w:r>
              <w:t>6630.350017</w:t>
            </w:r>
          </w:p>
        </w:tc>
        <w:tc>
          <w:tcPr>
            <w:tcW w:w="1608" w:type="dxa"/>
            <w:vAlign w:val="center"/>
          </w:tcPr>
          <w:p w14:paraId="537D0D47">
            <w:r>
              <w:t>首个有效生成solver</w:t>
            </w:r>
          </w:p>
        </w:tc>
      </w:tr>
      <w:tr w14:paraId="54D07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25285DAF">
            <w:r>
              <w:t>2</w:t>
            </w:r>
          </w:p>
        </w:tc>
        <w:tc>
          <w:tcPr>
            <w:tcW w:w="1608" w:type="dxa"/>
            <w:vAlign w:val="center"/>
          </w:tcPr>
          <w:p w14:paraId="193DE79D">
            <w:r>
              <w:t>accepted</w:t>
            </w:r>
          </w:p>
        </w:tc>
        <w:tc>
          <w:tcPr>
            <w:tcW w:w="1608" w:type="dxa"/>
            <w:vAlign w:val="center"/>
          </w:tcPr>
          <w:p w14:paraId="65D7ABB9">
            <w:r>
              <w:t>candidate</w:t>
            </w:r>
          </w:p>
        </w:tc>
        <w:tc>
          <w:tcPr>
            <w:tcW w:w="1608" w:type="dxa"/>
            <w:vAlign w:val="center"/>
          </w:tcPr>
          <w:p w14:paraId="32820549">
            <w:r>
              <w:t>289</w:t>
            </w:r>
          </w:p>
        </w:tc>
        <w:tc>
          <w:tcPr>
            <w:tcW w:w="1608" w:type="dxa"/>
            <w:vAlign w:val="center"/>
          </w:tcPr>
          <w:p w14:paraId="03D068B4">
            <w:r>
              <w:t>6547.527203</w:t>
            </w:r>
          </w:p>
        </w:tc>
        <w:tc>
          <w:tcPr>
            <w:tcW w:w="1608" w:type="dxa"/>
            <w:vAlign w:val="center"/>
          </w:tcPr>
          <w:p w14:paraId="0FCAA7AC">
            <w:r>
              <w:t>聚合指标改进</w:t>
            </w:r>
          </w:p>
        </w:tc>
      </w:tr>
      <w:tr w14:paraId="4465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0F65B467">
            <w:r>
              <w:t>3</w:t>
            </w:r>
          </w:p>
        </w:tc>
        <w:tc>
          <w:tcPr>
            <w:tcW w:w="1608" w:type="dxa"/>
            <w:vAlign w:val="center"/>
          </w:tcPr>
          <w:p w14:paraId="6BCC0EDD">
            <w:r>
              <w:t>rejected</w:t>
            </w:r>
          </w:p>
        </w:tc>
        <w:tc>
          <w:tcPr>
            <w:tcW w:w="1608" w:type="dxa"/>
            <w:vAlign w:val="center"/>
          </w:tcPr>
          <w:p w14:paraId="7E4EA0AD">
            <w:r>
              <w:t>candidate</w:t>
            </w:r>
          </w:p>
        </w:tc>
        <w:tc>
          <w:tcPr>
            <w:tcW w:w="1608" w:type="dxa"/>
            <w:vAlign w:val="center"/>
          </w:tcPr>
          <w:p w14:paraId="47674F46">
            <w:r>
              <w:t>289</w:t>
            </w:r>
          </w:p>
        </w:tc>
        <w:tc>
          <w:tcPr>
            <w:tcW w:w="1608" w:type="dxa"/>
            <w:vAlign w:val="center"/>
          </w:tcPr>
          <w:p w14:paraId="0A22985F">
            <w:r>
              <w:t>6547.527203</w:t>
            </w:r>
          </w:p>
        </w:tc>
        <w:tc>
          <w:tcPr>
            <w:tcW w:w="1608" w:type="dxa"/>
            <w:vAlign w:val="center"/>
          </w:tcPr>
          <w:p w14:paraId="0B97DDE8">
            <w:r>
              <w:t>未优于当前最优</w:t>
            </w:r>
          </w:p>
        </w:tc>
      </w:tr>
      <w:tr w14:paraId="4DB8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503E6BF1">
            <w:r>
              <w:t>4</w:t>
            </w:r>
          </w:p>
        </w:tc>
        <w:tc>
          <w:tcPr>
            <w:tcW w:w="1608" w:type="dxa"/>
            <w:vAlign w:val="center"/>
          </w:tcPr>
          <w:p w14:paraId="04E9E6E6">
            <w:r>
              <w:t>accepted</w:t>
            </w:r>
          </w:p>
        </w:tc>
        <w:tc>
          <w:tcPr>
            <w:tcW w:w="1608" w:type="dxa"/>
            <w:vAlign w:val="center"/>
          </w:tcPr>
          <w:p w14:paraId="457ED2C3">
            <w:r>
              <w:t>refine</w:t>
            </w:r>
          </w:p>
        </w:tc>
        <w:tc>
          <w:tcPr>
            <w:tcW w:w="1608" w:type="dxa"/>
            <w:vAlign w:val="center"/>
          </w:tcPr>
          <w:p w14:paraId="0213EEAF">
            <w:r>
              <w:t>289</w:t>
            </w:r>
          </w:p>
        </w:tc>
        <w:tc>
          <w:tcPr>
            <w:tcW w:w="1608" w:type="dxa"/>
            <w:vAlign w:val="center"/>
          </w:tcPr>
          <w:p w14:paraId="61696E5E">
            <w:r>
              <w:t>6496.030467</w:t>
            </w:r>
          </w:p>
        </w:tc>
        <w:tc>
          <w:tcPr>
            <w:tcW w:w="1608" w:type="dxa"/>
            <w:vAlign w:val="center"/>
          </w:tcPr>
          <w:p w14:paraId="51F7E4B1">
            <w:r>
              <w:t>惩罚分下降</w:t>
            </w:r>
          </w:p>
        </w:tc>
      </w:tr>
      <w:tr w14:paraId="0F422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3881ED6A">
            <w:r>
              <w:t>5</w:t>
            </w:r>
          </w:p>
        </w:tc>
        <w:tc>
          <w:tcPr>
            <w:tcW w:w="1608" w:type="dxa"/>
            <w:vAlign w:val="center"/>
          </w:tcPr>
          <w:p w14:paraId="3F067954">
            <w:r>
              <w:t>accepted</w:t>
            </w:r>
          </w:p>
        </w:tc>
        <w:tc>
          <w:tcPr>
            <w:tcW w:w="1608" w:type="dxa"/>
            <w:vAlign w:val="center"/>
          </w:tcPr>
          <w:p w14:paraId="3E858E72">
            <w:r>
              <w:t>candidate</w:t>
            </w:r>
          </w:p>
        </w:tc>
        <w:tc>
          <w:tcPr>
            <w:tcW w:w="1608" w:type="dxa"/>
            <w:vAlign w:val="center"/>
          </w:tcPr>
          <w:p w14:paraId="18275F92">
            <w:r>
              <w:t>291</w:t>
            </w:r>
          </w:p>
        </w:tc>
        <w:tc>
          <w:tcPr>
            <w:tcW w:w="1608" w:type="dxa"/>
            <w:vAlign w:val="center"/>
          </w:tcPr>
          <w:p w14:paraId="79C99ADD">
            <w:r>
              <w:t>6209.573021</w:t>
            </w:r>
          </w:p>
        </w:tc>
        <w:tc>
          <w:tcPr>
            <w:tcW w:w="1608" w:type="dxa"/>
            <w:vAlign w:val="center"/>
          </w:tcPr>
          <w:p w14:paraId="4C12EB3E">
            <w:r>
              <w:t>覆盖和惩罚分改进</w:t>
            </w:r>
          </w:p>
        </w:tc>
      </w:tr>
      <w:tr w14:paraId="1FE4B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8" w:type="dxa"/>
            <w:vAlign w:val="center"/>
          </w:tcPr>
          <w:p w14:paraId="0042B3A3">
            <w:r>
              <w:t>6</w:t>
            </w:r>
          </w:p>
        </w:tc>
        <w:tc>
          <w:tcPr>
            <w:tcW w:w="1608" w:type="dxa"/>
            <w:vAlign w:val="center"/>
          </w:tcPr>
          <w:p w14:paraId="5E70DA42">
            <w:r>
              <w:t>accepted</w:t>
            </w:r>
          </w:p>
        </w:tc>
        <w:tc>
          <w:tcPr>
            <w:tcW w:w="1608" w:type="dxa"/>
            <w:vAlign w:val="center"/>
          </w:tcPr>
          <w:p w14:paraId="57276F7F">
            <w:r>
              <w:t>recompose</w:t>
            </w:r>
          </w:p>
        </w:tc>
        <w:tc>
          <w:tcPr>
            <w:tcW w:w="1608" w:type="dxa"/>
            <w:vAlign w:val="center"/>
          </w:tcPr>
          <w:p w14:paraId="20110E15">
            <w:r>
              <w:t>291</w:t>
            </w:r>
          </w:p>
        </w:tc>
        <w:tc>
          <w:tcPr>
            <w:tcW w:w="1608" w:type="dxa"/>
            <w:vAlign w:val="center"/>
          </w:tcPr>
          <w:p w14:paraId="78A93748">
            <w:r>
              <w:t>5944.641255</w:t>
            </w:r>
          </w:p>
        </w:tc>
        <w:tc>
          <w:tcPr>
            <w:tcW w:w="1608" w:type="dxa"/>
            <w:vAlign w:val="center"/>
          </w:tcPr>
          <w:p w14:paraId="50ECF5D3">
            <w:r>
              <w:t>聚合惩罚分继续下降</w:t>
            </w:r>
          </w:p>
        </w:tc>
      </w:tr>
    </w:tbl>
    <w:p w14:paraId="5CC4E86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多算例候选在10个case上均达到100%覆盖。按case看，tiny_seed42为103.916，high_noise_seed601为61.213，large_seed301为658.397，large_seed302为489.878，low_willingness_seed501为1650.299，medium_seed201为385.180，medium_seed202为452.630，medium_seed203为500.492，scarce_couriers_seed401为1419.310，small_seed100为223.326。低意愿和骑手稀缺场景仍是主要分数来源，这也解释了Agent后续会更倾向于释放低意愿、稀缺骑手和全局orchestration相关组件。</w:t>
      </w:r>
    </w:p>
    <w:p w14:paraId="2E1DC141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单算例和多算例结果之间也体现了两种运行方式的取舍。单算例large_seed301可以把提示词和时间预算集中在一个真实case上，截图结果为652.769；多算例最终solver在large_seed301上的分数为658.397，略高于单算例专项结果，但它同时保证1个真实算例和9个虚拟算例全部完成，并把聚合惩罚分从6630.350017降到5944.641255。也就是说，系统既能专项压分，也能在多场景下自动寻找更稳的综合解。</w:t>
      </w:r>
    </w:p>
    <w:p w14:paraId="7048DD98">
      <w:r>
        <w:br w:type="page"/>
      </w:r>
    </w:p>
    <w:p w14:paraId="1F73AA66">
      <w:pPr>
        <w:pStyle w:val="167"/>
        <w:pageBreakBefore/>
        <w:widowControl/>
      </w:pPr>
      <w:r>
        <w:t>目</w:t>
      </w:r>
      <w:r>
        <w:rPr>
          <w:rFonts w:hint="eastAsia"/>
          <w:lang w:eastAsia="zh-CN"/>
        </w:rPr>
        <w:t>　　</w:t>
      </w:r>
      <w:r>
        <w:t>录</w:t>
      </w:r>
    </w:p>
    <w:p w14:paraId="48A8047C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_Toc26196 </w:instrText>
      </w:r>
      <w:r>
        <w:fldChar w:fldCharType="separate"/>
      </w:r>
      <w:r>
        <w:rPr>
          <w:rFonts w:hint="eastAsia"/>
          <w:lang w:eastAsia="zh-CN"/>
        </w:rPr>
        <w:t>一、</w:t>
      </w:r>
      <w:r>
        <w:t>任务理解与设计目标</w:t>
      </w:r>
      <w:r>
        <w:tab/>
      </w:r>
      <w:r>
        <w:fldChar w:fldCharType="begin"/>
      </w:r>
      <w:r>
        <w:instrText xml:space="preserve"> PAGEREF _Toc26196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12C3089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_Toc8023 </w:instrText>
      </w:r>
      <w:r>
        <w:fldChar w:fldCharType="separate"/>
      </w:r>
      <w:r>
        <w:rPr>
          <w:rFonts w:hint="eastAsia"/>
          <w:lang w:eastAsia="zh-CN"/>
        </w:rPr>
        <w:t>二、</w:t>
      </w:r>
      <w:r>
        <w:t>系统总体设计</w:t>
      </w:r>
      <w:r>
        <w:tab/>
      </w:r>
      <w:r>
        <w:fldChar w:fldCharType="begin"/>
      </w:r>
      <w:r>
        <w:instrText xml:space="preserve"> PAGEREF _Toc8023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DEB6187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_Toc10568 </w:instrText>
      </w:r>
      <w:r>
        <w:fldChar w:fldCharType="separate"/>
      </w:r>
      <w:r>
        <w:rPr>
          <w:rFonts w:hint="eastAsia"/>
          <w:lang w:eastAsia="zh-CN"/>
        </w:rPr>
        <w:t>三、</w:t>
      </w:r>
      <w:r>
        <w:t>自主策略探索机制</w:t>
      </w:r>
      <w:r>
        <w:tab/>
      </w:r>
      <w:r>
        <w:fldChar w:fldCharType="begin"/>
      </w:r>
      <w:r>
        <w:instrText xml:space="preserve"> PAGEREF _Toc10568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84DFAF3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_Toc22969 </w:instrText>
      </w:r>
      <w:r>
        <w:fldChar w:fldCharType="separate"/>
      </w:r>
      <w:r>
        <w:rPr>
          <w:rFonts w:hint="eastAsia"/>
          <w:lang w:eastAsia="zh-CN"/>
        </w:rPr>
        <w:t>四、</w:t>
      </w:r>
      <w:r>
        <w:t>候选求解器评估与筛选</w:t>
      </w:r>
      <w:r>
        <w:tab/>
      </w:r>
      <w:r>
        <w:fldChar w:fldCharType="begin"/>
      </w:r>
      <w:r>
        <w:instrText xml:space="preserve"> PAGEREF _Toc22969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2CA0C50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_Toc22027 </w:instrText>
      </w:r>
      <w:r>
        <w:fldChar w:fldCharType="separate"/>
      </w:r>
      <w:r>
        <w:rPr>
          <w:rFonts w:hint="eastAsia"/>
          <w:lang w:eastAsia="zh-CN"/>
        </w:rPr>
        <w:t>五、</w:t>
      </w:r>
      <w:r>
        <w:t>最终solver算法设计</w:t>
      </w:r>
      <w:r>
        <w:tab/>
      </w:r>
      <w:r>
        <w:fldChar w:fldCharType="begin"/>
      </w:r>
      <w:r>
        <w:instrText xml:space="preserve"> PAGEREF _Toc22027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2E0778D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_Toc3796 </w:instrText>
      </w:r>
      <w:r>
        <w:fldChar w:fldCharType="separate"/>
      </w:r>
      <w:r>
        <w:rPr>
          <w:rFonts w:hint="eastAsia"/>
          <w:lang w:eastAsia="zh-CN"/>
        </w:rPr>
        <w:t>六、</w:t>
      </w:r>
      <w:r>
        <w:t>UI界面与使用流程</w:t>
      </w:r>
      <w:r>
        <w:tab/>
      </w:r>
      <w:r>
        <w:fldChar w:fldCharType="begin"/>
      </w:r>
      <w:r>
        <w:instrText xml:space="preserve"> PAGEREF _Toc3796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C259F8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_Toc5933 </w:instrText>
      </w:r>
      <w:r>
        <w:fldChar w:fldCharType="separate"/>
      </w:r>
      <w:r>
        <w:rPr>
          <w:rFonts w:hint="eastAsia"/>
          <w:lang w:eastAsia="zh-CN"/>
        </w:rPr>
        <w:t>七、</w:t>
      </w:r>
      <w:r>
        <w:t>运行结果与迭代分析</w:t>
      </w:r>
      <w:r>
        <w:tab/>
      </w:r>
      <w:r>
        <w:fldChar w:fldCharType="begin"/>
      </w:r>
      <w:r>
        <w:instrText xml:space="preserve"> PAGEREF _Toc5933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DE30B9">
      <w:pPr>
        <w:pStyle w:val="27"/>
        <w:tabs>
          <w:tab w:val="right" w:leader="dot" w:pos="9648"/>
        </w:tabs>
      </w:pPr>
      <w:r>
        <w:fldChar w:fldCharType="begin"/>
      </w:r>
      <w:r>
        <w:instrText xml:space="preserve"> HYPERLINK \l _Toc29236 </w:instrText>
      </w:r>
      <w:r>
        <w:fldChar w:fldCharType="separate"/>
      </w:r>
      <w:r>
        <w:rPr>
          <w:rFonts w:hint="eastAsia"/>
          <w:lang w:eastAsia="zh-CN"/>
        </w:rPr>
        <w:t>八、</w:t>
      </w:r>
      <w:r>
        <w:t>总结</w:t>
      </w:r>
      <w:r>
        <w:tab/>
      </w:r>
      <w:r>
        <w:fldChar w:fldCharType="begin"/>
      </w:r>
      <w:r>
        <w:instrText xml:space="preserve"> PAGEREF _Toc29236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FB6EFA5">
      <w:r>
        <w:fldChar w:fldCharType="end"/>
      </w:r>
    </w:p>
    <w:p w14:paraId="7ABFE8ED"/>
    <w:p w14:paraId="65944A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721252E9">
      <w:pPr>
        <w:pStyle w:val="3"/>
        <w:keepNext/>
        <w:pageBreakBefore/>
        <w:widowControl/>
        <w:numPr>
          <w:numId w:val="0"/>
        </w:numPr>
        <w:topLinePunct w:val="0"/>
        <w:ind w:leftChars="0"/>
        <w:rPr>
          <w:rFonts w:hint="eastAsia" w:ascii="黑体" w:hAnsi="黑体" w:eastAsia="黑体" w:cs="黑体"/>
          <w:b w:val="0"/>
          <w:bdr w:val="none" w:sz="0" w:space="0"/>
        </w:rPr>
      </w:pPr>
      <w:bookmarkStart w:id="7" w:name="_Toc29236"/>
      <w:r>
        <w:rPr>
          <w:rFonts w:hint="eastAsia"/>
          <w:lang w:eastAsia="zh-CN"/>
        </w:rPr>
        <w:t>八、</w:t>
      </w:r>
      <w:r>
        <w:t>总结</w:t>
      </w:r>
      <w:bookmarkEnd w:id="7"/>
    </w:p>
    <w:p w14:paraId="75905E3E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本项目完成了一个面向配送任务分配的AutoSolver Agent系统。系统不是人工指定单一算法，而是让大模型在组件库和算例画像指导下提出候选策略，再由本地评测器自动筛选，形成生成、评估、记录和改进的闭环。</w:t>
      </w:r>
    </w:p>
    <w:p w14:paraId="137DAD0C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方法兼顾了比赛提交限制和研究型探索要求。离线Agent阶段可以调用DeepSeek、查看历史实验、组合贪心、合单、局部搜索和全局重组等策略；在线solver阶段则保留轻量、独立、可限时运行的组合启发式。单算例运行说明系统能围绕真实case持续压分，多算例运行说明系统能在1个真实算例和9个虚拟算例上保持完整覆盖并优化聚合惩罚分。</w:t>
      </w:r>
    </w:p>
    <w:p w14:paraId="0BAB3235">
      <w:pPr>
        <w:pStyle w:val="19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工程角度看，UI界面增强了系统可用性和可复现性。用户可以通过页面配置算例、模型、轮次和预算，实时查看每轮候选的接受或拒绝原因，并导出当前最优解。这样的设计让AutoSolver不只是一个最终solver.py文件，也是一套能解释自己如何变好的自动研究流程。</w:t>
      </w:r>
    </w:p>
    <w:sectPr>
      <w:headerReference r:id="rId5" w:type="default"/>
      <w:footerReference r:id="rId6" w:type="default"/>
      <w:pgSz w:w="12240" w:h="15840"/>
      <w:pgMar w:top="1296" w:right="1296" w:bottom="1296" w:left="1296" w:header="648" w:footer="648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02D9C">
    <w:pPr>
      <w:pStyle w:val="25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7904DB">
                          <w:pPr>
                            <w:pStyle w:val="2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7904DB">
                    <w:pPr>
                      <w:pStyle w:val="2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ECEB58">
    <w:pPr>
      <w:pStyle w:val="26"/>
    </w:pPr>
  </w:p>
  <w:p w14:paraId="3A7EF6FF">
    <w:pPr>
      <w:pStyle w:val="26"/>
      <w:jc w:val="center"/>
    </w:pPr>
    <w:r>
      <w:t>外卖配送任务分配AutoSolver Agent技术报告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F62AE1"/>
    <w:rsid w:val="43951BDC"/>
    <w:rsid w:val="4FFB5466"/>
    <w:rsid w:val="71F97FA8"/>
    <w:rsid w:val="76B7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next w:val="1"/>
    <w:qFormat/>
    <w:uiPriority w:val="9"/>
    <w:pPr>
      <w:keepNext w:val="0"/>
      <w:keepLines w:val="0"/>
      <w:widowControl w:val="0"/>
      <w:adjustRightInd w:val="0"/>
      <w:spacing w:before="480" w:after="240" w:line="240" w:lineRule="auto"/>
      <w:jc w:val="left"/>
      <w:outlineLvl w:val="0"/>
    </w:pPr>
    <w:rPr>
      <w:rFonts w:ascii="Arial" w:hAnsi="Arial" w:eastAsia="黑体" w:cs="Arial"/>
      <w:kern w:val="44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9"/>
    <w:pPr>
      <w:keepNext w:val="0"/>
      <w:keepLines w:val="0"/>
      <w:widowControl w:val="0"/>
      <w:adjustRightInd w:val="0"/>
      <w:spacing w:before="240" w:after="181" w:afterLines="50" w:line="240" w:lineRule="auto"/>
      <w:jc w:val="left"/>
      <w:outlineLvl w:val="1"/>
    </w:pPr>
    <w:rPr>
      <w:rFonts w:ascii="Arial" w:hAnsi="Times New Roman" w:eastAsia="黑体" w:cs="Arial"/>
      <w:kern w:val="2"/>
      <w:sz w:val="28"/>
      <w:szCs w:val="28"/>
      <w:lang w:bidi="ar-SA"/>
    </w:rPr>
  </w:style>
  <w:style w:type="paragraph" w:styleId="5">
    <w:name w:val="heading 3"/>
    <w:next w:val="1"/>
    <w:unhideWhenUsed/>
    <w:qFormat/>
    <w:uiPriority w:val="9"/>
    <w:pPr>
      <w:keepNext w:val="0"/>
      <w:keepLines w:val="0"/>
      <w:widowControl w:val="0"/>
      <w:adjustRightInd w:val="0"/>
      <w:spacing w:before="181" w:beforeLines="50" w:after="181" w:afterLines="50" w:line="240" w:lineRule="auto"/>
      <w:jc w:val="left"/>
      <w:outlineLvl w:val="2"/>
    </w:pPr>
    <w:rPr>
      <w:rFonts w:ascii="Arial" w:hAnsi="Times New Roman" w:eastAsia="黑体" w:cs="Arial"/>
      <w:kern w:val="2"/>
      <w:sz w:val="24"/>
      <w:szCs w:val="24"/>
      <w:lang w:bidi="ar-SA"/>
    </w:rPr>
  </w:style>
  <w:style w:type="paragraph" w:styleId="6">
    <w:name w:val="heading 4"/>
    <w:next w:val="1"/>
    <w:semiHidden/>
    <w:unhideWhenUsed/>
    <w:qFormat/>
    <w:uiPriority w:val="9"/>
    <w:pPr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5"/>
    <w:next w:val="1"/>
    <w:semiHidden/>
    <w:unhideWhenUsed/>
    <w:qFormat/>
    <w:uiPriority w:val="9"/>
    <w:pPr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6"/>
    <w:next w:val="1"/>
    <w:semiHidden/>
    <w:unhideWhenUsed/>
    <w:qFormat/>
    <w:uiPriority w:val="9"/>
    <w:pPr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7"/>
    <w:next w:val="1"/>
    <w:semiHidden/>
    <w:unhideWhenUsed/>
    <w:qFormat/>
    <w:uiPriority w:val="9"/>
    <w:pPr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8"/>
    <w:next w:val="1"/>
    <w:semiHidden/>
    <w:unhideWhenUsed/>
    <w:qFormat/>
    <w:uiPriority w:val="9"/>
    <w:pPr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1">
    <w:name w:val="heading 9"/>
    <w:next w:val="1"/>
    <w:semiHidden/>
    <w:unhideWhenUsed/>
    <w:qFormat/>
    <w:uiPriority w:val="9"/>
    <w:pPr>
      <w:widowControl w:val="0"/>
      <w:adjustRightInd w:val="0"/>
      <w:spacing w:before="181" w:beforeLines="50" w:after="181" w:afterLines="50" w:line="400" w:lineRule="exact"/>
      <w:ind w:firstLine="480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unhideWhenUsed/>
    <w:qFormat/>
    <w:uiPriority w:val="99"/>
    <w:pPr>
      <w:keepLines w:val="0"/>
      <w:widowControl w:val="0"/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kern w:val="2"/>
      <w:sz w:val="24"/>
      <w:szCs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next w:val="1"/>
    <w:semiHidden/>
    <w:unhideWhenUsed/>
    <w:uiPriority w:val="39"/>
    <w:pPr>
      <w:adjustRightInd w:val="0"/>
      <w:spacing w:line="300" w:lineRule="auto"/>
      <w:ind w:left="0" w:leftChars="0" w:firstLine="960" w:firstLineChars="400"/>
    </w:pPr>
    <w:rPr>
      <w:rFonts w:ascii="Times New Roman" w:hAnsi="Times New Roman" w:eastAsia="宋体" w:cs="Times New Roman"/>
      <w:sz w:val="24"/>
      <w:szCs w:val="24"/>
    </w:rPr>
  </w:style>
  <w:style w:type="paragraph" w:styleId="25">
    <w:name w:val="footer"/>
    <w:basedOn w:val="1"/>
    <w:link w:val="1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next w:val="1"/>
    <w:semiHidden/>
    <w:unhideWhenUsed/>
    <w:uiPriority w:val="39"/>
    <w:pPr>
      <w:adjustRightInd w:val="0"/>
      <w:spacing w:line="300" w:lineRule="auto"/>
      <w:ind w:firstLine="0" w:firstLineChars="0"/>
    </w:pPr>
    <w:rPr>
      <w:rFonts w:ascii="Arial" w:hAnsi="Arial" w:eastAsia="黑体" w:cs="Arial"/>
      <w:sz w:val="24"/>
      <w:szCs w:val="24"/>
    </w:rPr>
  </w:style>
  <w:style w:type="paragraph" w:styleId="28">
    <w:name w:val="Subtitle"/>
    <w:next w:val="1"/>
    <w:qFormat/>
    <w:uiPriority w:val="11"/>
    <w:pPr>
      <w:widowControl w:val="0"/>
      <w:adjustRightInd w:val="0"/>
      <w:spacing w:line="360" w:lineRule="auto"/>
      <w:jc w:val="center"/>
      <w:outlineLvl w:val="9"/>
    </w:pPr>
    <w:rPr>
      <w:rFonts w:ascii="Arial" w:hAnsi="Arial" w:eastAsia="黑体" w:cs="Arial"/>
      <w:kern w:val="2"/>
      <w:sz w:val="32"/>
      <w:szCs w:val="32"/>
      <w:lang w:bidi="ar-SA"/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next w:val="1"/>
    <w:semiHidden/>
    <w:unhideWhenUsed/>
    <w:uiPriority w:val="39"/>
    <w:pPr>
      <w:adjustRightInd w:val="0"/>
      <w:spacing w:line="300" w:lineRule="auto"/>
      <w:ind w:left="0" w:leftChars="0" w:firstLine="480" w:firstLineChars="200"/>
    </w:pPr>
    <w:rPr>
      <w:rFonts w:ascii="Times New Roman" w:hAnsi="Times New Roman" w:eastAsia="宋体" w:cs="Times New Roman"/>
      <w:sz w:val="24"/>
      <w:szCs w:val="24"/>
    </w:r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next w:val="1"/>
    <w:qFormat/>
    <w:uiPriority w:val="10"/>
    <w:pPr>
      <w:widowControl w:val="0"/>
      <w:adjustRightInd w:val="0"/>
      <w:spacing w:afterLines="100" w:line="240" w:lineRule="auto"/>
      <w:jc w:val="center"/>
      <w:outlineLvl w:val="9"/>
    </w:pPr>
    <w:rPr>
      <w:rFonts w:ascii="Arial" w:hAnsi="Arial" w:eastAsia="黑体" w:cs="Arial"/>
      <w:kern w:val="2"/>
      <w:sz w:val="44"/>
      <w:szCs w:val="44"/>
      <w:lang w:bidi="ar-SA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paragraph" w:styleId="138">
    <w:name w:val="List Paragraph"/>
    <w:basedOn w:val="1"/>
    <w:qFormat/>
    <w:uiPriority w:val="34"/>
    <w:pPr>
      <w:ind w:left="720"/>
      <w:contextualSpacing/>
    </w:pPr>
  </w:style>
  <w:style w:type="character" w:customStyle="1" w:styleId="139">
    <w:name w:val="Header Char"/>
    <w:basedOn w:val="135"/>
    <w:link w:val="26"/>
    <w:qFormat/>
    <w:uiPriority w:val="99"/>
  </w:style>
  <w:style w:type="character" w:customStyle="1" w:styleId="140">
    <w:name w:val="Footer Char"/>
    <w:basedOn w:val="135"/>
    <w:link w:val="25"/>
    <w:qFormat/>
    <w:uiPriority w:val="99"/>
  </w:style>
  <w:style w:type="paragraph" w:styleId="14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2">
    <w:name w:val="Heading 1 Char"/>
    <w:basedOn w:val="135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43">
    <w:name w:val="Heading 2 Char"/>
    <w:basedOn w:val="135"/>
    <w:qFormat/>
    <w:uiPriority w:val="9"/>
    <w:rPr>
      <w:rFonts w:asciiTheme="majorAscii" w:hAnsiTheme="majorAscii" w:eastAsiaTheme="majorEastAsia" w:cstheme="majorBidi"/>
      <w:b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44">
    <w:name w:val="Heading 3 Char"/>
    <w:basedOn w:val="13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5">
    <w:name w:val="Title Char"/>
    <w:basedOn w:val="135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6">
    <w:name w:val="Subtitle Char"/>
    <w:basedOn w:val="135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47">
    <w:name w:val="Body Text Char"/>
    <w:basedOn w:val="135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5">
    <w:name w:val="Heading 6 Char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6">
    <w:name w:val="Heading 7 Char"/>
    <w:basedOn w:val="135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目录标题"/>
    <w:next w:val="1"/>
    <w:uiPriority w:val="0"/>
    <w:pPr>
      <w:keepNext w:val="0"/>
      <w:keepLines w:val="0"/>
      <w:widowControl/>
      <w:adjustRightInd w:val="0"/>
      <w:spacing w:before="480" w:after="240" w:line="240" w:lineRule="auto"/>
      <w:jc w:val="center"/>
      <w:outlineLvl w:val="9"/>
    </w:pPr>
    <w:rPr>
      <w:rFonts w:ascii="Arial" w:hAnsi="Arial" w:eastAsia="黑体" w:cs="Arial"/>
      <w:color w:val="auto"/>
      <w:kern w:val="0"/>
      <w:sz w:val="32"/>
      <w:szCs w:val="32"/>
      <w:lang w:bidi="ar-SA"/>
    </w:rPr>
  </w:style>
  <w:style w:type="paragraph" w:customStyle="1" w:styleId="168">
    <w:name w:val="图片标题"/>
    <w:next w:val="1"/>
    <w:uiPriority w:val="0"/>
    <w:pPr>
      <w:widowControl w:val="0"/>
      <w:tabs>
        <w:tab w:val="left" w:pos="0"/>
      </w:tabs>
      <w:adjustRightInd w:val="0"/>
      <w:spacing w:before="120" w:after="120" w:line="400" w:lineRule="exact"/>
      <w:jc w:val="center"/>
    </w:pPr>
    <w:rPr>
      <w:rFonts w:ascii="Arial" w:hAnsi="Arial" w:eastAsia="黑体" w:cs="Arial"/>
      <w:kern w:val="2"/>
      <w:sz w:val="21"/>
      <w:szCs w:val="21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937</Words>
  <Characters>1243</Characters>
  <Lines>0</Lines>
  <Paragraphs>0</Paragraphs>
  <TotalTime>5</TotalTime>
  <ScaleCrop>false</ScaleCrop>
  <LinksUpToDate>false</LinksUpToDate>
  <CharactersWithSpaces>1256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张硕(2025210318)</cp:lastModifiedBy>
  <dcterms:modified xsi:type="dcterms:W3CDTF">2026-06-07T15:08:24Z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eyJoZGlkIjoiYWRkZjQ2YzQ2MjVkN2I3ZTBkMTRiZDFmYWNhYmQwMGEiLCJ1c2VySWQiOiIxNzMyMjYzMjAxIn0=</vt:lpwstr>
  </property>
  <property fmtid="{D5CDD505-2E9C-101B-9397-08002B2CF9AE}" pid="3" name="KSOProductBuildVer">
    <vt:lpwstr>2052-12.1.0.23542</vt:lpwstr>
  </property>
  <property fmtid="{D5CDD505-2E9C-101B-9397-08002B2CF9AE}" pid="4" name="ICV">
    <vt:lpwstr>8C1F0D88821F4965AF0E36410FF80A7D_12</vt:lpwstr>
  </property>
</Properties>
</file>