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120" w:line="276" w:lineRule="auto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2563EB"/>
          <w:sz w:val="52"/>
          <w:szCs w:val="52"/>
        </w:rPr>
        <w:t>SafeVault</w:t>
      </w:r>
    </w:p>
    <w:p>
      <w:pPr>
        <w:spacing w:before="0" w:after="200" w:line="276" w:lineRule="auto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6"/>
          <w:szCs w:val="36"/>
        </w:rPr>
        <w:t>密码安全助手</w:t>
      </w:r>
    </w:p>
    <w:p>
      <w:pPr>
        <w:spacing w:before="0" w:after="80" w:line="276" w:lineRule="auto"/>
        <w:jc w:val="left"/>
      </w:pPr>
    </w:p>
    <w:p>
      <w:pPr>
        <w:spacing w:before="0" w:after="400" w:line="276" w:lineRule="auto"/>
        <w:jc w:val="center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E3A5F"/>
          <w:sz w:val="44"/>
          <w:szCs w:val="44"/>
        </w:rPr>
        <w:t>运 营 手 册</w:t>
      </w: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B7280"/>
          <w:sz w:val="22"/>
          <w:szCs w:val="22"/>
        </w:rPr>
        <w:t>版本：v1.0</w:t>
      </w:r>
    </w:p>
    <w:p>
      <w:pPr>
        <w:spacing w:before="0" w:after="80" w:line="276" w:lineRule="auto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B7280"/>
          <w:sz w:val="22"/>
          <w:szCs w:val="22"/>
        </w:rPr>
        <w:t>日期：2026 年 6 月</w:t>
      </w:r>
    </w:p>
    <w:p>
      <w:pPr>
        <w:spacing w:before="0" w:after="80" w:line="276" w:lineRule="auto"/>
        <w:jc w:val="center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B7280"/>
          <w:sz w:val="22"/>
          <w:szCs w:val="22"/>
        </w:rPr>
        <w:t>密级：内部</w:t>
      </w:r>
    </w:p>
    <w:p>
      <w:r>
        <w:br w:type="page"/>
      </w:r>
    </w:p>
    <w:p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sdt>
      <w:sdtPr>
        <w:alias w:val="目录"/>
        <w:id w:val="1"/>
      </w:sdtPr>
      <w:sdtContent>
        <w:p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产品概述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1.1 产品定位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SafeVault（密码安全助手）是一款本地优先、生物识别保护、零学习成本的轻量级个人密码管理工具。产品口号：「指纹一按，密码到手」。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产品采用零知识架构设计，用户明文密码永不离开设备、永不持久化到磁盘，确保用户数据在传输和存储过程中的绝对安全。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1.2 目标用户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普通用户：账号众多、记忆困难，需要统一管理密码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安全意识用户：不信任云端存储，追求本地加密与零知识验证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老年与数字弱势群体：操作门槛低，生物识别一键解锁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1.3 核心功能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200"/>
        <w:gridCol w:w="4626"/>
      </w:tblGrid>
      <w:tr>
        <w:trPr>
          <w:tblHeader/>
        </w:trP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功能模块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优先级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安全认证（开户/解锁/找回）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P0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主密码 + 生物识别 + 恢复码，三重保障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密码保险库（CRUD + 分类 + 搜索）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P0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加密存储、一键复制、60 秒剪贴板自动清除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密码生成器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P0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默认 16 位，可自定义长度与字符集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健康度检测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P1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0-100 评分，弱密码/重复密码自动识别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加密备份与恢复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P0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云端加密 blob 存储，独立备份密码保护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自动锁定</w:t>
            </w:r>
          </w:p>
        </w:tc>
        <w:tc>
          <w:tcPr>
            <w:tcW w:w="1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P1</w:t>
            </w:r>
          </w:p>
        </w:tc>
        <w:tc>
          <w:tcPr>
            <w:tcW w:w="4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30s/60s/120s/300s/永不，可配置超时自动锁定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1.4 安全特性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00"/>
        <w:gridCol w:w="36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安全机制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技术实现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密钥派生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PBKDF2-HMAC-SHA256，600K 迭代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客户端派生，抗暴力破解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数据加密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AES-256-GCM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信封加密，DataKey 加密库数据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认证封装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X25519 Sealed Box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密码明文经 X25519 封装上送，服务端解封后慢哈希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零知识验证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服务端双重 PBKDF2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服务端再加 200K 迭代 + 独立 salt 后存储验证器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恢复码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Crockford Base32，160 位熵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 字符分组，含校验位，可恢复 DataKey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令牌安全</w:t>
            </w:r>
          </w:p>
        </w:tc>
        <w:tc>
          <w:tcPr>
            <w:tcW w:w="3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 HS256</w:t>
            </w:r>
          </w:p>
        </w:tc>
        <w:tc>
          <w:tcPr>
            <w:tcW w:w="3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 15 分钟，Refresh Token 30 天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6"/>
          <w:szCs w:val="26"/>
        </w:rPr>
        <w:t>1.4.1 信封加密架构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 采用信封加密（Envelope Encryption）架构保护用户数据：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注册时，客户端生成随机 256 位 DataKey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DataKey 使用 AES-256-GCM 加密整个保险库数据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DataKey 分别由密码派生的 KEK（pwWrapped）和恢复码派生的 KEK（recoveryWrapped）独立封装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修改密码时仅需重新封装 DataKey，无需重新加密整个库（瞬时完成）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找回密码时通过恢复码解封 DataKey，即可恢复全部数据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此架构确保：即使服务端数据库泄露，攻击者也无法解密用户数据，因为 DataKey 始终只在客户端内存中存在。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系统架构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2.1 整体架构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 采用前后端分离架构，整体部署在 Docker Compose 编排的容器集群中：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2600"/>
        <w:gridCol w:w="2026"/>
      </w:tblGrid>
      <w:tr>
        <w:trPr>
          <w:tblHeader/>
        </w:trP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组件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技术栈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端口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反向代理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Nginx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Nginx Alpine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80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前端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safevault_ui / safevault_app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Vue 3 + Vite / UniApp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应用层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FastAPI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Python 3.13 + FastAPI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8000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消息队列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3 Management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5672 / 15672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缓存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7 Alpine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6379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数据库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8.4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3306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9000 / 9001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2.2 前端架构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前端工程采用严格的视图 → Composable → Store 三层架构：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Views 层：每个功能页一个目录（views/&lt;feature&gt;/），主视图 + 私有子组件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Composables 层：编排交互流程（加载态、反馈提示、取消/AbortSignal、节流）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Stores 层：Pinia store 集中管理状态与数据逻辑，对视图层透明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两个前端工程：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safevault_ui：Vue 3 + Vite + Capacitor，支持 Web 和 Android APK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safevault_app：UniApp + HBuilderX，支持 H5 和 Android APK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2.3 后端架构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后端采用 Python FastAPI 框架，分层架构如下：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层级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目录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职责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路由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app/api/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HTTP 端点定义（auth.py / backup.py）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业务服务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app/services/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核心业务逻辑（注册/登录/令牌/备份等）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数据模型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app/models/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SQLAlchemy ORM 模型（account/backup_blob/recovery_blob）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数据模式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app/schemas/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Pydantic 请求/响应校验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基础设施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app/client/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MySQL/Redis/RabbitMQ/OSS 客户端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核心组件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app/core/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基类/异常/MQ 框架/OSS 操作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消费者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app/comsumer/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邮件发送消费者（独立进程）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2.4 数据库设计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数据库使用 MySQL 8.4，字符集 utf8mb4，共 3 张核心表：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表名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关键字段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account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用户账户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id, email, verifier, kdf_params, server_salt, sealed_box_pub, is_active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backup_blob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加密备份存储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id, account_id, data (LONGBLOB), version, size_bytes, created_at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recovery_blob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恢复密钥托管</w:t>
            </w:r>
          </w:p>
        </w:tc>
        <w:tc>
          <w:tcPr>
            <w:tcW w:w="4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id, account_id, data (LONGBLOB), version, created_at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2.5 网络与路由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Nginx 反向代理规则：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/safevault/ → 代理至 FastAPI（api:8000），超时 120 秒，最大请求体 10MB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/health → 代理至 FastAPI 健康检查端点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/ → 静态文件（前端 SPA），7 天缓存静态资源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前端路由守卫：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未开户（无主密码）一律拦截至 /onboarding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requiresUnlock 路由未解锁则重定向至 /unlock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Tab 页使用 meta.tab 标记，支持 Tab 间滑动过渡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弹出页（详情/编辑/新增等）自右滑入，支持手势收回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部署指南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3.1 环境要求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项目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要求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备注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操作系统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Ubuntu 20.04+ / macOS 12+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推荐 Ubuntu 22.04 LTS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≥ 24.0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Engine + Docker Compose V2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内存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≥ 4 GB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推荐 8 GB，MySQL 需要足够内存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磁盘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≥ 20 GB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推荐 50 GB，含备份存储空间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网络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公网 IP + 域名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需开放 80/443 端口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JDK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JDK 21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仅 APK 打包时需要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Android SDK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34+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仅 APK 打包时需要，Android Studio 自带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3.2 服务端部署（Docker Compose）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3.2.1 克隆代码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git clone &lt;仓库地址&gt; &amp;&amp; cd safevault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3.2.2 配置环境变量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复制 .env.example 为 .env，按实际环境修改以下关键配置：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21"/>
        <w:gridCol w:w="1196"/>
        <w:gridCol w:w="5309"/>
      </w:tblGrid>
      <w:tr>
        <w:trPr>
          <w:tblHeader/>
        </w:trP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配置项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示例值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MYSQL_URL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连接字符串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mysql+asyncmy://user:pass@mysql:3306/safevault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REDIS_URL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连接字符串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redis://:password@redis:6379/0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RABBITMQ_URL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连接字符串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amqp://user:pass@rabbitmq:5672/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BREVO_API_KEY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 邮件 API 密钥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xkeysib-xxx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BREVO_SENDER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发件人邮箱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noreply@example.com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JWT_SECRET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 签名密钥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随机 64 字符字符串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JWT_REFRESH_SECRET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Refresh Token 签名密钥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随机 64 字符字符串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OSS_ENDPOINT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MinIO/S3 端点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http://minio:9000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OSS_ACCESS_KEY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对象存储访问密钥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minioadmin</w:t>
            </w:r>
          </w:p>
        </w:tc>
      </w:tr>
      <w:tr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OSS_SECRET_KEY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对象存储密钥</w:t>
            </w:r>
          </w:p>
        </w:tc>
        <w:tc>
          <w:tcPr>
            <w:tcW w:w="34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minioadmin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3.2.3 启动服务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在 safevault/ 目录下执行：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up -d                    # 后台启动所有服务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ps                       # 查看服务状态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logs -f api              # 查看 API 日志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首次启动后需初始化 MySQL 数据库：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exec api python -m db.init  # 执行数据库迁移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初始化 MinIO 存储桶：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exec api python -m db.oss_init  # 创建 backup 桶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3.2.4 验证部署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部署完成后，通过以下方式验证：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健康检查：curl http://&lt;服务器IP&gt;/health，应返回 {"status": "ok"}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API 端点：curl http://&lt;服务器IP&gt;/safevault/auth/kdf-params?email=test@test.com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前端页面：浏览器访问 http://&lt;服务器IP&gt;/，应显示解锁页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3.3 前端构建与部署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3.3.</w:t>
      </w:r>
      <w:r>
        <w:rPr>
          <w:rFonts w:hint="default" w:cs="微软雅黑"/>
          <w:b/>
          <w:bCs/>
          <w:i w:val="0"/>
          <w:iCs w:val="0"/>
          <w:color w:val="1F2937"/>
          <w:sz w:val="24"/>
          <w:szCs w:val="24"/>
          <w:lang w:val="en-US"/>
        </w:rPr>
        <w:t>1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 xml:space="preserve"> Android APK 打包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使用 Capacitor 打包（safevault_ui 工程）：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确保 JDK 21 与 Android SDK 已安装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cd safevault_ui &amp;&amp; npm install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npm run apk           # 调试版 APK，产物在 apk-output/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npm run apk:install   # 调试版 + USB 安装到设备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正式版打包需配置签名环境变量：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KEYSTORE_PATH：签名文件路径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KEYSTORE_PASSWORD：签名文件密码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KEY_ALIAS：密钥别名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KEY_PASSWORD：密钥密码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然后执行 npm run apk:release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日常运维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4.1 服务管理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操作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命令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启动所有服务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up -d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停止所有服务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down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重启单个服务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restart api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查看服务状态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ps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查看实时日志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logs -f api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查看最近 100 行日志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logs --tail 100 api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进入容器终端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exec api bash</w:t>
            </w:r>
          </w:p>
        </w:tc>
      </w:tr>
      <w:tr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拉取最新镜像重建</w:t>
            </w:r>
          </w:p>
        </w:tc>
        <w:tc>
          <w:tcPr>
            <w:tcW w:w="6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compose up -d --build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4.2 健康检查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已配置健康检查，可通过以下命令查看：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ps --format json | jq '.[] | {Name: .Name, Health: .Health}'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各服务健康检查配置：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服务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检查方式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超时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mysqladmin ping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10s 间隔 / 5s 超时 / 5 次重试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ping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10s 间隔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rabbitmq-diagnostics check_running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10s 间隔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HTTP GET /health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30s 间隔 / 10s 超时 / 3 次重试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</w:t>
            </w:r>
          </w:p>
        </w:tc>
        <w:tc>
          <w:tcPr>
            <w:tcW w:w="4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HTTP GET /minio/health/live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10s 间隔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4.3 监控与告警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建议配置以下监控指标和告警规则：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1600"/>
        <w:gridCol w:w="2826"/>
      </w:tblGrid>
      <w:tr>
        <w:trPr>
          <w:tblHeader/>
        </w:trP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监控指标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告警阈值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检查频率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告警方式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响应时间 P99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3 秒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 分钟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 / 企业微信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错误率 5xx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1%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 分钟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 / 企业微信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连接数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最大连接数的 80%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 秒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内存使用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80% maxmemory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 秒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磁盘使用率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85%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 分钟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 / 短信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队列积压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1000 条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 分钟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</w:t>
            </w:r>
          </w:p>
        </w:tc>
      </w:tr>
      <w:tr>
        <w:tc>
          <w:tcPr>
            <w:tcW w:w="2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Docker 容器重启次数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&gt; 3 次/小时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 分钟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邮件 / 短信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4.4 日志管理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日志查看命令：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API 全量日志：docker compose logs api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Nginx 访问日志：docker compose logs nginx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邮件消费者日志：docker compose logs worker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日志轮转配置（建议在 docker-compose.yml 中添加）：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logging: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 xml:space="preserve">  driver: json-file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 xml:space="preserve">  options: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 xml:space="preserve">    max-size: "50m"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 xml:space="preserve">    max-file: "5"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4.5 数据备份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4.5.1 MySQL 数据库备份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建议每日凌晨自动备份，保留 30 天：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exec mysql mysqldump -u root -p&lt;密码&gt; safevault | gzip &gt; /backup/mysql_$(date +%Y%m%d).sql.gz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恢复：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gunzip &lt; /backup/mysql_20260614.sql.gz | docker compose exec -T mysql mysql -u root -p&lt;密码&gt; safevault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4.5.2 MinIO 对象存储备份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使用 mc（MinIO Client）镜像备份：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compose exec minio mc mirror /data /backup/minio_$(date +%Y%m%d)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4.5.3 Redis 持久化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Redis 已配置 AOF 持久化（appendonly yes），数据卷 redis-data 自动持久化。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手动触发 RDB 快照：docker compose exec redis redis-cli BGSAVE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4.6 证书与域名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生产环境建议配置 HTTPS：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使用 Let's Encrypt 免费证书或商业 SSL 证书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在 Nginx 配置中添加 SSL 证书路径和强制 HTTPS 跳转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设置证书自动续期（certbot renew --deploy-hook "docker compose restart nginx"）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当前部署使用 HTTP，如需启用 HTTPS，需修改 nginx/default.conf 并映射 443 端口。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配置参考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5.1 环境变量一览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7"/>
        <w:gridCol w:w="1511"/>
        <w:gridCol w:w="3058"/>
      </w:tblGrid>
      <w:tr>
        <w:trPr>
          <w:tblHeader/>
        </w:trP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变量名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默认值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MYSQL_URL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异步连接字符串（asyncmy 驱动）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REDIS_URL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连接字符串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RABBITMQ_URL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AMQP 连接字符串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BREVO_API_KEY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 事务邮件 API 密钥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BREVO_SENDER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发件人邮箱地址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VERIFY_CODE_LENGTH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验证码长度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VERIFY_CODE_TTL_SECONDS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验证码有效期（秒）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VERIFY_CODE_COOLDOWN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验证码发送冷却时间（秒）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RATE_LIMIT_MAX_REQUESTS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滑动窗口限流最大请求数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RATE_LIMIT_WINDOW_SECONDS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滑动窗口大小（秒）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JWT_SECRET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 签名密钥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JWT_ALGORITHM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HS256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 签名算法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JWT_ACCESS_TOKEN_EXPIRE_MINUTES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15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 有效期（分钟）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JWT_REFRESH_TOKEN_EXPIRE_DAYS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Refresh Token 有效期（天）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VERIFIER_HASH_ITERATIONS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200000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服务端验证器哈希迭代次数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OSS_ENDPOINT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MinIO/S3 端点地址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OSS_ACCESS_KEY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 Access Key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OSS_SECRET_KEY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 Secret Key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OSS_BUCKET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backup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对象存储桶名称</w:t>
            </w:r>
          </w:p>
        </w:tc>
      </w:tr>
      <w:tr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BACKUP_MAX_SIZE_MIB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单次备份最大体积（MiB）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5.2 Docker Compose 端口映射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600"/>
        <w:gridCol w:w="2800"/>
        <w:gridCol w:w="26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服务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容器端口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宿主机映射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Nginx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80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80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统一入口，反向代理 + 静态文件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FastAPI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8000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服务，经 Nginx 代理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3306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数据库，经内部网络访问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6379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缓存/令牌白名单，经内部网络访问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AMQP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5672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消息队列，经内部网络访问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管理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15672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管理控制台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 API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9000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 API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 Console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9001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—（仅容器内）</w:t>
            </w:r>
          </w:p>
        </w:tc>
        <w:tc>
          <w:tcPr>
            <w:tcW w:w="26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对象存储管理控制台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5.3 Docker 数据卷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600"/>
        <w:gridCol w:w="20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卷名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挂载点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用途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备份建议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mysql-data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/var/lib/mysql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数据文件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每日 mysqldump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redis-data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/data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AOF 持久化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自动 AOF，手动 BGSAVE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rabbitmq-data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/var/lib/rabbitmq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RabbitMQ 数据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低优先级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minio-data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/data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MinIO 对象数据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mc mirror 镜像备份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5.4 Nginx 配置要点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API 代理超时：proxy_read_timeout 120s（PBKDF2 密钥派生耗时较长）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请求体限制：client_max_body_size 10M（备份上传限制）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静态资源缓存：7 天，适合 SPA 静态资源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SPA 路由回退：try_files $uri $uri/ /index.html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故障排除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6.1 常见问题与解决方案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4"/>
        <w:gridCol w:w="1346"/>
        <w:gridCol w:w="4194"/>
        <w:gridCol w:w="2222"/>
      </w:tblGrid>
      <w:tr>
        <w:trPr>
          <w:tblHeader/>
        </w:trP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问题现象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可能原因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排查步骤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解决方案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返回 502 Bad Gateway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FastAPI 容器未就绪或已崩溃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docker compose ps api
2. docker compose logs --tail 50 api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重启 API 容器：docker compose restart api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用户收不到验证码邮件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Brevo 配置错误或 RabbitMQ 消息积压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检查 .env 中 BREVO_API_KEY
2. docker compose logs worker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修正 Brevo 配置
2. 重启 worker 容器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登录响应缓慢（&gt;5秒）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PBKDF2 迭代次数过高或服务器 CPU 负载大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检查 VERIFIER_HASH_ITERATIONS
2. 监控 CPU 使用率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适当降低迭代次数（不低于 100K）
2. 扩容服务器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备份上传失败 413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备份数据超过大小限制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检查 Nginx client_max_body_size
2. 检查 BACKUP_MAX_SIZE_MIB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增大 Nginx 限制
2. 增大备份大小限制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Token 刷新失败 401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Refresh Token 过期或 Redis 丢失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检查 Redis 连接
2. 检查 JWT_REFRESH_TOKEN_EXPIRE_DAYS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重启 Redis
2. 用户需重新登录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连接数耗尽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连接池配置不当或慢查询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docker compose exec mysql mysql -e 'SHOW PROCESSLIST'
2. 检查连接池配置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增大 max_connections
2. 优化慢查询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前端页面白屏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API 地址配置错误或 CORS 问题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浏览器 F12 查看 Network
2. 检查 VITE_API_BASE_URL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修正 API 地址
2. 检查 Nginx 代理配置</w:t>
            </w:r>
          </w:p>
        </w:tc>
      </w:tr>
      <w:tr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APK 打包失败</w:t>
            </w:r>
          </w:p>
        </w:tc>
        <w:tc>
          <w:tcPr>
            <w:tcW w:w="1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JDK 版本不对或 Android SDK 缺失</w:t>
            </w:r>
          </w:p>
        </w:tc>
        <w:tc>
          <w:tcPr>
            <w:tcW w:w="2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java -version 检查 JDK 21
2. echo $ANDROID_HOME</w:t>
            </w:r>
          </w:p>
        </w:tc>
        <w:tc>
          <w:tcPr>
            <w:tcW w:w="28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1. 安装 JDK 21
2. 配置 Android SDK 路径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6.2 紧急处理流程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6.2.1 服务全部不可用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确认服务器资源：df -h 检查磁盘，free -m 检查内存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查看全局日志：docker compose logs --tail 200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按顺序重启：docker compose down &amp;&amp; docker compose up -d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验证恢复：curl http://localhost/health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如无法恢复，从最近备份还原数据库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6.2.2 数据库故障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检查 MySQL 容器状态：docker compose ps mysql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查看 MySQL 错误日志：docker compose logs mysql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如需恢复：从备份文件还原（参见 4.5.1 节）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重建容器：docker compose up -d --force-recreate mysql</w:t>
      </w:r>
    </w:p>
    <w:p>
      <w:pPr>
        <w:pStyle w:val="4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4"/>
          <w:szCs w:val="24"/>
        </w:rPr>
        <w:t>6.2.3 安全事件响应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发现异常访问：立即查看 API 访问日志，确认攻击来源 IP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封锁攻击 IP：在 Nginx 配置中 deny 攻击来源 IP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强制所有用户重新登录：清空 Redis 中的 refresh token 白名单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修改 JWT 密钥：更新 .env 中的 JWT_SECRET 和 JWT_REFRESH_SECRET，重启 API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评估影响：检查 MySQL 审计日志，确认是否有数据泄露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版本发布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7.1 发布流程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代码合并：将开发分支合并至 main 分支，确保所有测试通过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版本号更新：更新 package.json 和后端版本号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构建前端：cd safevault_ui &amp;&amp; npm run build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构建后端镜像：docker compose build api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数据库迁移（如有）：docker compose exec api python -m db.migrate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滚动更新：docker compose up -d --no-deps --build api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验证部署：curl http://localhost/health &amp;&amp; 功能冒烟测试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APK 发布（如需）：npm run apk:release，上传至分发渠道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7.2 回滚方案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如新版本出现问题，按以下步骤回滚：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确认回滚目标版本号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切换代码至上一版本：git checkout &lt;上一版本tag&gt;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重建并启动：docker compose up -d --build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数据库回滚（如有迁移）：docker compose exec api python -m db.rollback &lt;version&gt;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验证回滚：功能冒烟测试 + 健康检查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7.3 版本路线图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版本</w:t>
            </w:r>
          </w:p>
        </w:tc>
        <w:tc>
          <w:tcPr>
            <w:tcW w:w="5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核心特性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状态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v1.0 MVP</w:t>
            </w:r>
          </w:p>
        </w:tc>
        <w:tc>
          <w:tcPr>
            <w:tcW w:w="5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主密码认证、保险库 CRUD、密码生成器、加密备份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已发布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v1.1</w:t>
            </w:r>
          </w:p>
        </w:tc>
        <w:tc>
          <w:tcPr>
            <w:tcW w:w="5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分类管理、健康度检测、回收站、自动锁定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已发布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v2.0（规划中）</w:t>
            </w:r>
          </w:p>
        </w:tc>
        <w:tc>
          <w:tcPr>
            <w:tcW w:w="5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云端同步、多设备、付费订阅</w:t>
            </w:r>
          </w:p>
        </w:tc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规划中</w:t>
            </w:r>
          </w:p>
        </w:tc>
      </w:tr>
    </w:tbl>
    <w:p>
      <w:pPr>
        <w:spacing w:before="0" w:after="80" w:line="276" w:lineRule="auto"/>
        <w:jc w:val="left"/>
      </w:pP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安全运维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8.1 安全架构概述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SafeVault 采用零知识架构，核心安全原则：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用户明文密码永不离开设备，永不持久化到磁盘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服务端仅存储验证器（verifier），无法反推原始密码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备份数据端到端加密，服务端无法解密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信封加密确保修改密码无需重新加密整个库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8.2 密钥管理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1600"/>
        <w:gridCol w:w="30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密钥类型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存储位置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生命周期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轮换方式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主密码（用户输入）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仅内存，会话结束即清除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会话级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修改主密码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KEK（密码派生）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仅内存，不持久化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会话级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修改主密码时重新派生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DataKey（信封加密）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pwWrapped 持久化到 localStorage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永久，直到用户重建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重建保险库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RecoveryKey（恢复码派生）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recoveryWrapped 持久化到云端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永久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重新生成恢复码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JWT Secret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 .env 文件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部署级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更换 .env 后重启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MySQL 密码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 .env 文件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部署级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更换 .env 后重启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Redis 密码</w:t>
            </w:r>
          </w:p>
        </w:tc>
        <w:tc>
          <w:tcPr>
            <w:tcW w:w="24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 .env 文件</w:t>
            </w:r>
          </w:p>
        </w:tc>
        <w:tc>
          <w:tcPr>
            <w:tcW w:w="16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部署级</w:t>
            </w:r>
          </w:p>
        </w:tc>
        <w:tc>
          <w:tcPr>
            <w:tcW w:w="3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更换 .env 后重启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8.3 安全检查清单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部署上线前，逐项确认：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JWT_SECRET 和 JWT_REFRESH_SECRET 已更换为随机强密码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MySQL root 密码已更换为强密码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Redis 已设置密码保护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RabbitMQ 默认用户密码已更换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MinIO 默认 Access Key / Secret Key 已更换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.env 文件权限设置为 600（仅 owner 可读写）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Nginx 已配置 HTTPS（生产环境必须）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服务器防火墙仅开放 80/443 端口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Docker 容器间通信使用内部网络，未暴露到公网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验证码服务（Brevo）API Key 未泄露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8.4 合规与审计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定期（每季度）审查 JWT 密钥和数据库密码，必要时轮换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保留 API 访问日志至少 90 天，供安全审计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监控异常登录行为（频繁失败、异地登录等）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定期更新 Docker 基础镜像，修复已知 CVE</w:t>
      </w:r>
    </w:p>
    <w:p>
      <w:pPr>
        <w:pStyle w:val="16"/>
        <w:numPr>
          <w:ilvl w:val="0"/>
          <w:numId w:val="1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对 Brevo API Key 实施 IP 白名单（如 Brevo 支持）</w:t>
      </w: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API 接口参考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9.1 认证模块（/safevault/auth/）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2800"/>
        <w:gridCol w:w="3200"/>
        <w:gridCol w:w="2026"/>
      </w:tblGrid>
      <w:tr>
        <w:trPr>
          <w:tblHeader/>
        </w:trP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路径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认证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/auth/verify-code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发送验证码到邮箱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无需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/auth/register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用户注册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无需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/auth/login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用户登录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无需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/auth/refresh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刷新 Access Token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Refresh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/auth/change-password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修改密码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/auth/reset-password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重置密码（验证码方式）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无需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POST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/auth/logout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登出，吊销令牌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GET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/auth/kdf-params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获取密钥派生参数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无需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9.2 备份模块（/safevault/backup/）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1"/>
        <w:gridCol w:w="2797"/>
        <w:gridCol w:w="3187"/>
        <w:gridCol w:w="2021"/>
      </w:tblGrid>
      <w:tr>
        <w:trPr>
          <w:tblHeader/>
        </w:trP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方法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路径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认证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PUT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上传加密备份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GET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下载加密备份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DELETE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删除备份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GET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/backup/meta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获取备份元信息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PUT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/backup/recovery-blob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上传恢复密钥封装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  <w:tr>
        <w:tc>
          <w:tcPr>
            <w:tcW w:w="1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GET</w:t>
            </w:r>
          </w:p>
        </w:tc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/backup/recovery-blob</w:t>
            </w:r>
          </w:p>
        </w:tc>
        <w:tc>
          <w:tcPr>
            <w:tcW w:w="32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下载恢复密钥封装</w:t>
            </w:r>
          </w:p>
        </w:tc>
        <w:tc>
          <w:tcPr>
            <w:tcW w:w="2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9.3 错误码规范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HTTP 状态码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错误码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400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BAD_REQUEST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请求参数校验失败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401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UNAUTHORIZED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Token 无效或过期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403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FORBIDDEN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权限不足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404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NOT_FOUND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资源不存在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409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CONFLICT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资源冲突（如邮箱已注册）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422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UNPROCESSABLE_ENTITY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请求体格式错误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429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RATE_LIMITED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请求频率超限</w:t>
            </w:r>
          </w:p>
        </w:tc>
      </w:tr>
      <w:tr>
        <w:tc>
          <w:tcPr>
            <w:tcW w:w="2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500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INTERNAL_ERROR</w:t>
            </w:r>
          </w:p>
        </w:tc>
        <w:tc>
          <w:tcPr>
            <w:tcW w:w="40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服务端内部错误</w:t>
            </w:r>
          </w:p>
        </w:tc>
      </w:tr>
    </w:tbl>
    <w:p>
      <w:pPr>
        <w:spacing w:before="0" w:after="80" w:line="276" w:lineRule="auto"/>
        <w:jc w:val="left"/>
      </w:pPr>
    </w:p>
    <w:p>
      <w:r>
        <w:br w:type="page"/>
      </w:r>
    </w:p>
    <w:p>
      <w:pPr>
        <w:pStyle w:val="2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32"/>
          <w:szCs w:val="32"/>
        </w:rPr>
        <w:t>附录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Docker Compose 完整服务架构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各服务依赖关系与启动顺序：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mysql → 健康检查通过后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redis → 健康检查通过后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rabbitmq → 健康检查通过后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minio → 健康检查通过后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api → 依赖上述 4 个基础设施服务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worker → 依赖 rabbitmq 和 api</w:t>
      </w:r>
    </w:p>
    <w:p>
      <w:pPr>
        <w:pStyle w:val="16"/>
        <w:numPr>
          <w:ilvl w:val="0"/>
          <w:numId w:val="2"/>
        </w:numPr>
        <w:spacing w:before="40" w:after="40" w:line="276" w:lineRule="auto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nginx → 依赖 api，统一对外暴露</w:t>
      </w: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关键技术参数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参数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值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1"/>
                <w:szCs w:val="21"/>
              </w:rPr>
              <w:t>说明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PBKDF2 客户端迭代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600,000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密码派生密钥的迭代次数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PBKDF2 服务端迭代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200,000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验证器哈希迭代次数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AES 加密模式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AES-256-GCM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认证加密，防篡改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恢复码长度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160 bit（32 字符 Crockford Base32）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125 位信息熵 + 校验位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Access Token 有效期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15 分钟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短期令牌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Refresh Token 有效期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30 天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长期令牌，支持自动刷新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备份大小限制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 MiB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单次备份最大体积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验证码长度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 位数字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邮箱验证码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验证码有效期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5 分钟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过期需重新发送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发送冷却时间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60 秒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防刷</w:t>
            </w:r>
          </w:p>
        </w:tc>
      </w:tr>
      <w:tr>
        <w:tc>
          <w:tcPr>
            <w:tcW w:w="28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限流窗口</w:t>
            </w:r>
          </w:p>
        </w:tc>
        <w:tc>
          <w:tcPr>
            <w:tcW w:w="3226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60 秒 / 5 次请求</w:t>
            </w:r>
          </w:p>
        </w:tc>
        <w:tc>
          <w:tcPr>
            <w:tcW w:w="3000" w:type="dxa"/>
            <w:tcBorders>
              <w:top w:val="single" w:color="D1D5DB" w:sz="0" w:space="0"/>
              <w:left w:val="single" w:color="D1D5DB" w:sz="0" w:space="0"/>
              <w:bottom w:val="single" w:color="D1D5DB" w:sz="0" w:space="0"/>
              <w:right w:val="single" w:color="D1D5D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0" w:lineRule="auto"/>
              <w:jc w:val="left"/>
            </w:pPr>
            <w:r>
              <w:rPr>
                <w:rFonts w:ascii="微软雅黑" w:hAnsi="微软雅黑" w:eastAsia="微软雅黑" w:cs="微软雅黑"/>
                <w:i w:val="0"/>
                <w:iCs w:val="0"/>
              </w:rPr>
              <w:t>滑动窗口限流</w:t>
            </w:r>
          </w:p>
        </w:tc>
      </w:tr>
    </w:tbl>
    <w:p>
      <w:pPr>
        <w:spacing w:before="0" w:after="80" w:line="276" w:lineRule="auto"/>
        <w:jc w:val="left"/>
      </w:pPr>
    </w:p>
    <w:p>
      <w:pPr>
        <w:pStyle w:val="3"/>
      </w:pPr>
      <w:r>
        <w:rPr>
          <w:rFonts w:ascii="微软雅黑" w:hAnsi="微软雅黑" w:eastAsia="微软雅黑" w:cs="微软雅黑"/>
          <w:b/>
          <w:bCs/>
          <w:i w:val="0"/>
          <w:iCs w:val="0"/>
          <w:color w:val="1F2937"/>
          <w:sz w:val="28"/>
          <w:szCs w:val="28"/>
        </w:rPr>
        <w:t>联系方式</w:t>
      </w:r>
    </w:p>
    <w:p>
      <w:pPr>
        <w:spacing w:before="0" w:after="80" w:line="276" w:lineRule="auto"/>
        <w:jc w:val="left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1F2937"/>
          <w:sz w:val="21"/>
          <w:szCs w:val="21"/>
        </w:rPr>
        <w:t>如遇本手册未覆盖的问题，请联系开发团队获取支持。</w:t>
      </w:r>
    </w:p>
    <w:p>
      <w:pPr>
        <w:spacing w:before="0" w:after="80" w:line="276" w:lineRule="auto"/>
        <w:jc w:val="left"/>
      </w:pPr>
    </w:p>
    <w:p>
      <w:pPr>
        <w:spacing w:before="0" w:after="80" w:line="276" w:lineRule="auto"/>
        <w:jc w:val="center"/>
      </w:pPr>
      <w:r>
        <w:rPr>
          <w:rFonts w:ascii="微软雅黑" w:hAnsi="微软雅黑" w:eastAsia="微软雅黑" w:cs="微软雅黑"/>
          <w:b w:val="0"/>
          <w:bCs w:val="0"/>
          <w:i/>
          <w:iCs/>
          <w:color w:val="6B7280"/>
          <w:sz w:val="21"/>
          <w:szCs w:val="21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D1D5DB" w:sz="4" w:space="4"/>
      </w:pBdr>
    </w:pPr>
    <w:r>
      <w:rPr>
        <w:rFonts w:ascii="微软雅黑" w:hAnsi="微软雅黑" w:eastAsia="微软雅黑" w:cs="微软雅黑"/>
        <w:b w:val="0"/>
        <w:bCs w:val="0"/>
        <w:i w:val="0"/>
        <w:iCs w:val="0"/>
        <w:color w:val="6B7280"/>
        <w:sz w:val="16"/>
        <w:szCs w:val="16"/>
      </w:rPr>
      <w:t>内部资料 · 请勿外传</w:t>
    </w:r>
    <w:r>
      <w:rPr>
        <w:rFonts w:ascii="微软雅黑" w:hAnsi="微软雅黑" w:eastAsia="微软雅黑" w:cs="微软雅黑"/>
        <w:b w:val="0"/>
        <w:bCs w:val="0"/>
        <w:i w:val="0"/>
        <w:iCs w:val="0"/>
        <w:color w:val="1F2937"/>
        <w:sz w:val="21"/>
        <w:szCs w:val="21"/>
      </w:rPr>
      <w:tab/>
    </w:r>
    <w:r>
      <w:rPr>
        <w:rFonts w:ascii="微软雅黑" w:hAnsi="微软雅黑" w:eastAsia="微软雅黑" w:cs="微软雅黑"/>
        <w:b w:val="0"/>
        <w:bCs w:val="0"/>
        <w:i w:val="0"/>
        <w:iCs w:val="0"/>
        <w:color w:val="6B7280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6B7280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6B7280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6B7280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6B7280"/>
        <w:sz w:val="16"/>
        <w:szCs w:val="16"/>
      </w:rPr>
      <w:fldChar w:fldCharType="end"/>
    </w:r>
    <w:r>
      <w:rPr>
        <w:rFonts w:ascii="微软雅黑" w:hAnsi="微软雅黑" w:eastAsia="微软雅黑" w:cs="微软雅黑"/>
        <w:b w:val="0"/>
        <w:bCs w:val="0"/>
        <w:i w:val="0"/>
        <w:iCs w:val="0"/>
        <w:color w:val="6B7280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2563EB" w:sz="6" w:space="4"/>
      </w:pBdr>
    </w:pPr>
    <w:r>
      <w:rPr>
        <w:rFonts w:ascii="微软雅黑" w:hAnsi="微软雅黑" w:eastAsia="微软雅黑" w:cs="微软雅黑"/>
        <w:b w:val="0"/>
        <w:bCs w:val="0"/>
        <w:i/>
        <w:iCs/>
        <w:color w:val="6B7280"/>
        <w:sz w:val="16"/>
        <w:szCs w:val="16"/>
      </w:rPr>
      <w:t>SafeVault 运营手册</w:t>
    </w:r>
    <w:r>
      <w:rPr>
        <w:rFonts w:ascii="微软雅黑" w:hAnsi="微软雅黑" w:eastAsia="微软雅黑" w:cs="微软雅黑"/>
        <w:b w:val="0"/>
        <w:bCs w:val="0"/>
        <w:i w:val="0"/>
        <w:iCs w:val="0"/>
        <w:color w:val="6B7280"/>
        <w:sz w:val="16"/>
        <w:szCs w:val="16"/>
      </w:rPr>
      <w:tab/>
    </w:r>
    <w:r>
      <w:rPr>
        <w:rFonts w:ascii="微软雅黑" w:hAnsi="微软雅黑" w:eastAsia="微软雅黑" w:cs="微软雅黑"/>
        <w:b w:val="0"/>
        <w:bCs w:val="0"/>
        <w:i w:val="0"/>
        <w:iCs w:val="0"/>
        <w:color w:val="6B7280"/>
        <w:sz w:val="16"/>
        <w:szCs w:val="16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EF228"/>
    <w:multiLevelType w:val="singleLevel"/>
    <w:tmpl w:val="EEEEF228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7F7FEF93"/>
    <w:multiLevelType w:val="singleLevel"/>
    <w:tmpl w:val="7F7FEF93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5BF105"/>
    <w:rsid w:val="FF5F5B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5</TotalTime>
  <ScaleCrop>false</ScaleCrop>
  <LinksUpToDate>false</LinksUpToDate>
  <Application>WPS Office_6.4.0.8550_F1E327BC-269C-435d-A152-05C5408002CA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baitiaojun</cp:lastModifiedBy>
  <dcterms:modified xsi:type="dcterms:W3CDTF">2026-06-14T01:28:32Z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52556AFB3D34C8937F912D6A991332FB_42</vt:lpwstr>
  </property>
</Properties>
</file>