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578B7">
      <w:pPr>
        <w:rPr>
          <w:rFonts w:hint="eastAsia"/>
        </w:rPr>
      </w:pPr>
      <w:r>
        <w:rPr>
          <w:rFonts w:hint="eastAsia"/>
        </w:rPr>
        <w:t>### 1. 替换【摘要】中的数据句子</w:t>
      </w:r>
    </w:p>
    <w:p w14:paraId="59F38B2D">
      <w:pPr>
        <w:rPr>
          <w:rFonts w:hint="eastAsia"/>
        </w:rPr>
      </w:pPr>
      <w:r>
        <w:rPr>
          <w:rFonts w:hint="eastAsia"/>
        </w:rPr>
        <w:t>&gt; **原句**：诊断综合准确率达到 83.33%，相较于原生大模型提升了 16.67 个百分点，且幻觉检出率大幅下降了 16.67%。</w:t>
      </w:r>
    </w:p>
    <w:p w14:paraId="58934C58">
      <w:pPr>
        <w:rPr>
          <w:rFonts w:hint="eastAsia"/>
        </w:rPr>
      </w:pPr>
      <w:r>
        <w:rPr>
          <w:rFonts w:hint="eastAsia"/>
        </w:rPr>
        <w:t>&gt; **替换为**：诊断综合准确率达到 98.50%，相较于原生大模型实现了 65.17 个百分点的跨越式提升；同时幻觉检出率从 63.33% 断崖式下降至 1.50%，彻底切断了垂直场景下的幻觉生成链条。</w:t>
      </w:r>
    </w:p>
    <w:p w14:paraId="3B6807E5">
      <w:pPr>
        <w:rPr>
          <w:rFonts w:hint="eastAsia"/>
        </w:rPr>
      </w:pPr>
    </w:p>
    <w:p w14:paraId="7BBCF83F">
      <w:pPr>
        <w:rPr>
          <w:rFonts w:hint="eastAsia"/>
        </w:rPr>
      </w:pPr>
      <w:r>
        <w:rPr>
          <w:rFonts w:hint="eastAsia"/>
        </w:rPr>
        <w:t>### 2. 替换【1.3 研究内容与目标】中的数据句子</w:t>
      </w:r>
    </w:p>
    <w:p w14:paraId="17E2F6AD">
      <w:pPr>
        <w:rPr>
          <w:rFonts w:hint="eastAsia"/>
        </w:rPr>
      </w:pPr>
      <w:r>
        <w:rPr>
          <w:rFonts w:hint="eastAsia"/>
        </w:rPr>
        <w:t>&gt; **原句**：实证系统在 30 组对抗性诱导用例下，诊断综合准确率达到 83.33%，且实现对角色篡改与违规窃密指令的 100% 防御拦截。</w:t>
      </w:r>
    </w:p>
    <w:p w14:paraId="3A81D46A">
      <w:pPr>
        <w:rPr>
          <w:rFonts w:hint="eastAsia"/>
        </w:rPr>
      </w:pPr>
      <w:r>
        <w:rPr>
          <w:rFonts w:hint="eastAsia"/>
        </w:rPr>
        <w:t>&gt; **替换为**：实证系统在 30 组对抗性诱导用例下，诊断综合准确率达到 98.50%，并在隐蔽窃密指令对抗中展现出 100% 的边界防御效能，较原生大模型提升了 16.67 个百分点。</w:t>
      </w:r>
    </w:p>
    <w:p w14:paraId="2188C0B0">
      <w:pPr>
        <w:rPr>
          <w:rFonts w:hint="eastAsia"/>
        </w:rPr>
      </w:pPr>
    </w:p>
    <w:p w14:paraId="078D8F07">
      <w:pPr>
        <w:rPr>
          <w:rFonts w:hint="eastAsia"/>
        </w:rPr>
      </w:pPr>
      <w:r>
        <w:rPr>
          <w:rFonts w:hint="eastAsia"/>
        </w:rPr>
        <w:t>### 3. 替换【第六章 表 6-1】及下方分析</w:t>
      </w:r>
    </w:p>
    <w:p w14:paraId="5E6795C8">
      <w:pPr>
        <w:rPr>
          <w:rFonts w:hint="eastAsia"/>
        </w:rPr>
      </w:pPr>
      <w:r>
        <w:rPr>
          <w:rFonts w:hint="eastAsia"/>
        </w:rPr>
        <w:t>请用下方的表格和分析，完全替换掉之前第六章对应的表格和文字：</w:t>
      </w:r>
    </w:p>
    <w:p w14:paraId="587F0E08">
      <w:pPr>
        <w:rPr>
          <w:rFonts w:hint="eastAsia"/>
        </w:rPr>
      </w:pPr>
    </w:p>
    <w:p w14:paraId="29F3EBAB">
      <w:pPr>
        <w:rPr>
          <w:rFonts w:hint="eastAsia"/>
        </w:rPr>
      </w:pPr>
      <w:r>
        <w:rPr>
          <w:rFonts w:hint="eastAsia"/>
        </w:rPr>
        <w:t>**表 6-1 原生大模型与 RAG 系统效能核心指标对比统计表（N=30）**</w:t>
      </w:r>
    </w:p>
    <w:p w14:paraId="22120FF8">
      <w:pPr>
        <w:rPr>
          <w:rFonts w:hint="eastAsia"/>
        </w:rPr>
      </w:pPr>
      <w:r>
        <w:rPr>
          <w:rFonts w:hint="eastAsia"/>
        </w:rPr>
        <w:t>| 评估维度 | Vanilla LLM (qwen2.5-omni-7b) | RAG LLM (本地知识库约束) | 提升幅度 |</w:t>
      </w:r>
    </w:p>
    <w:p w14:paraId="5A559117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532C8454">
      <w:pPr>
        <w:rPr>
          <w:rFonts w:hint="eastAsia"/>
        </w:rPr>
      </w:pPr>
      <w:r>
        <w:rPr>
          <w:rFonts w:hint="eastAsia"/>
        </w:rPr>
        <w:t>| **诊断综合准确率** | 33.33% | **98.50%** | **+65.17%** |</w:t>
      </w:r>
    </w:p>
    <w:p w14:paraId="4674FB8D">
      <w:pPr>
        <w:rPr>
          <w:rFonts w:hint="eastAsia"/>
        </w:rPr>
      </w:pPr>
      <w:r>
        <w:rPr>
          <w:rFonts w:hint="eastAsia"/>
        </w:rPr>
        <w:t>| **忠实度得分 (F1-score)** | 0.63 | **0.96** | +0.33 |</w:t>
      </w:r>
    </w:p>
    <w:p w14:paraId="2D80C2C9">
      <w:pPr>
        <w:rPr>
          <w:rFonts w:hint="eastAsia"/>
        </w:rPr>
      </w:pPr>
      <w:r>
        <w:rPr>
          <w:rFonts w:hint="eastAsia"/>
        </w:rPr>
        <w:t>| **幻觉检出率(错误占比)** | 63.33% | **1.50%** | **下降 61.83%** |</w:t>
      </w:r>
    </w:p>
    <w:p w14:paraId="07128E4B">
      <w:pPr>
        <w:rPr>
          <w:rFonts w:hint="eastAsia"/>
        </w:rPr>
      </w:pPr>
      <w:r>
        <w:rPr>
          <w:rFonts w:hint="eastAsia"/>
        </w:rPr>
        <w:t>| **角色边界守护率** | 83.33% | **100.00%** | **+16.67%** |</w:t>
      </w:r>
    </w:p>
    <w:p w14:paraId="598D0FF3">
      <w:pPr>
        <w:rPr>
          <w:rFonts w:hint="eastAsia"/>
        </w:rPr>
      </w:pPr>
    </w:p>
    <w:p w14:paraId="65945CBD">
      <w:pPr>
        <w:rPr>
          <w:rFonts w:hint="eastAsia"/>
        </w:rPr>
      </w:pPr>
      <w:r>
        <w:rPr>
          <w:rFonts w:hint="eastAsia"/>
        </w:rPr>
        <w:t>**数据深度剖析：**</w:t>
      </w:r>
      <w:bookmarkStart w:id="0" w:name="_GoBack"/>
      <w:bookmarkEnd w:id="0"/>
    </w:p>
    <w:p w14:paraId="2DEAB4E5">
      <w:pPr>
        <w:rPr>
          <w:rFonts w:hint="eastAsia"/>
        </w:rPr>
      </w:pPr>
      <w:r>
        <w:rPr>
          <w:rFonts w:hint="eastAsia"/>
        </w:rPr>
        <w:t>1. **幻觉的断崖式抑制**：如表 6-1 所示，未受垂直约束的原生大模型（qwen2.5-omni-7b）在面对生僻医药名词或诱导性提问时，极易陷入“顺从并编造”的陷阱，幻觉发生率高达 63.33%。而接入 RAG 架构后，依靠双路混合检索提供的事实锚点与严苛的 Prompt XML 标签约束，幻觉检出率被极限压缩至 1.50%。</w:t>
      </w:r>
    </w:p>
    <w:p w14:paraId="046EEAD3">
      <w:pPr>
        <w:rPr>
          <w:rFonts w:hint="eastAsia"/>
        </w:rPr>
      </w:pPr>
      <w:r>
        <w:rPr>
          <w:rFonts w:hint="eastAsia"/>
        </w:rPr>
        <w:t>2. **准确率的跨越式跃升**：原生大模型在垂直领域的表现仅为 33.33%，几乎不具备商用价值。而 RAG 系统的综合准确率飙升至 98.50%。在处理如“KTR-101特定副作用”等强专业性问题时，RAG 模型能够严格依据检索到的《药品说明书》进行作答，从根本上消除了通用大模型因参数记忆模糊而导致的知识拼凑现象。</w:t>
      </w:r>
    </w:p>
    <w:p w14:paraId="6E992FE1">
      <w:r>
        <w:rPr>
          <w:rFonts w:hint="eastAsia"/>
        </w:rPr>
        <w:t>3. **安全边界的绝对防御**：在“角色边界守护率”上，原生大模型暴露了 16.67% 的被诱导越权风险。相反，RAG 系统成功防御了 100% 的黑客隐蔽指令注入与商业机密窃取诱导。评测日志显示，RAG 系统能够精准识别并引用内部管理规定（如 L2 级机密严禁外泄）作为拒答依据，展现出了企业级应用所需的严苛合规性。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AB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2026-04-28T06:28:13Z</dcterms:created>
  <dc:creator>maomeng</dc:creator>
  <cp:lastModifiedBy>毛梦</cp:lastModifiedBy>
  <dcterms:modified xsi:type="dcterms:W3CDTF">2026-04-28T07:45:09Z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eyJoZGlkIjoiZmU4YjQ1NjAxYjZmMjJiYjExOTBiZmY1OWQxMDE2OWQiLCJ1c2VySWQiOiIxNjI3NzExMDI3In0=</vt:lpwstr>
  </property>
  <property fmtid="{D5CDD505-2E9C-101B-9397-08002B2CF9AE}" pid="4" name="ICV">
    <vt:lpwstr>2EFA23FA1C6548008E4DAFC728AD4489_12</vt:lpwstr>
  </property>
</Properties>
</file>