
<file path=[Content_Types].xml><?xml version="1.0" encoding="utf-8"?>
<Types xmlns="http://schemas.openxmlformats.org/package/2006/content-types">
  <Default Extension="xml" ContentType="application/xml"/>
  <Default Extension="jpeg" ContentType="image/jpeg"/>
  <Default Extension="JPG" ContentType="image/.jp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黑体" w:hAnsi="黑体" w:eastAsia="黑体" w:cs="黑体"/>
          <w:sz w:val="44"/>
          <w:szCs w:val="44"/>
          <w:lang w:val="en-US" w:eastAsia="zh-CN"/>
        </w:rPr>
      </w:pPr>
      <w:r>
        <w:rPr>
          <w:rFonts w:hint="eastAsia" w:ascii="黑体" w:hAnsi="黑体" w:eastAsia="黑体" w:cs="黑体"/>
          <w:sz w:val="44"/>
          <w:szCs w:val="44"/>
          <w:lang w:val="en-US" w:eastAsia="zh-CN"/>
        </w:rPr>
        <w:t>含铬不锈钢渣中铬元素回收研究</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黑体" w:hAnsi="黑体" w:eastAsia="黑体" w:cs="黑体"/>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eastAsia="楷体" w:cs="Times New Roman"/>
          <w:w w:val="115"/>
          <w:sz w:val="24"/>
          <w:szCs w:val="24"/>
          <w:vertAlign w:val="baseline"/>
        </w:rPr>
      </w:pPr>
      <w:r>
        <w:rPr>
          <w:rFonts w:hint="default" w:ascii="Times New Roman" w:hAnsi="Times New Roman" w:eastAsia="黑体" w:cs="Times New Roman"/>
          <w:sz w:val="24"/>
          <w:szCs w:val="24"/>
          <w:lang w:val="en-US" w:eastAsia="zh-CN"/>
        </w:rPr>
        <w:t>摘要：</w:t>
      </w:r>
      <w:r>
        <w:rPr>
          <w:rFonts w:hint="default" w:ascii="Times New Roman" w:hAnsi="Times New Roman" w:eastAsia="楷体" w:cs="Times New Roman"/>
          <w:sz w:val="24"/>
          <w:szCs w:val="24"/>
          <w:lang w:val="en-US" w:eastAsia="zh-CN"/>
        </w:rPr>
        <w:t>目前中国是不锈钢生产的第一大国，但中国的铬矿资源分布不均，已探明的储量不多，且大多数铬矿品位低，开发条件不好，这些特点决定了国内对铬资源的需求。因此，未来中国需要大量进口铬资源来满足对铬资源的极大需求。同时，每年不锈钢行业产生大量含铬固废，回收其中的铬资源可以缓解国内对铬资源的需求，同时也有助于环境保护。目前处理含铬不锈钢废料的解毒方法主要包括湿法还原法、干法还原法以及固化法。本文研究了一种湿法冶金方法，可从不锈钢渣中提取铬。该方法在NaOCl溶液存在下，在水浴锅中进行温度控制。在优化提取步骤参数后，选择性浸出Cr，通过BaCrO4沉淀从渗滤液中纯化和浓缩Cr，其Cr回收率较高。通过此方法，所获得的浸出残渣没有显示出钢渣的矿物学变化，因此可以应用已知的矿渣碳化处理来制备具有较低Cr含量的新型建筑材料。</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r>
        <w:rPr>
          <w:rFonts w:hint="eastAsia" w:ascii="黑体" w:hAnsi="黑体" w:eastAsia="黑体" w:cs="黑体"/>
          <w:w w:val="115"/>
          <w:sz w:val="24"/>
          <w:szCs w:val="24"/>
          <w:vertAlign w:val="baseline"/>
          <w:lang w:val="en-US" w:eastAsia="zh-CN"/>
        </w:rPr>
        <w:t>关键词</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w w:val="115"/>
          <w:sz w:val="32"/>
          <w:szCs w:val="32"/>
          <w:vertAlign w:val="baseline"/>
          <w:lang w:val="en-US" w:eastAsia="zh-CN"/>
        </w:rPr>
        <w:sectPr>
          <w:headerReference r:id="rId5" w:type="default"/>
          <w:pgSz w:w="11906" w:h="16838"/>
          <w:pgMar w:top="1701" w:right="1417" w:bottom="1417" w:left="1417" w:header="851" w:footer="992" w:gutter="0"/>
          <w:cols w:space="720"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center"/>
        <w:textAlignment w:val="auto"/>
        <w:rPr>
          <w:rFonts w:hint="default" w:ascii="Times New Roman" w:hAnsi="Times New Roman" w:eastAsia="黑体" w:cs="Times New Roman"/>
          <w:w w:val="115"/>
          <w:sz w:val="32"/>
          <w:szCs w:val="32"/>
          <w:vertAlign w:val="baseline"/>
          <w:lang w:val="en-US" w:eastAsia="zh-CN"/>
        </w:rPr>
      </w:pPr>
      <w:r>
        <w:rPr>
          <w:rFonts w:hint="default" w:ascii="Times New Roman" w:hAnsi="Times New Roman" w:eastAsia="黑体" w:cs="Times New Roman"/>
          <w:w w:val="115"/>
          <w:sz w:val="32"/>
          <w:szCs w:val="32"/>
          <w:vertAlign w:val="baseline"/>
          <w:lang w:val="en-US" w:eastAsia="zh-CN"/>
        </w:rPr>
        <w:t>绪论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w w:val="115"/>
          <w:sz w:val="28"/>
          <w:szCs w:val="28"/>
          <w:vertAlign w:val="baseline"/>
          <w:lang w:val="en-US" w:eastAsia="zh-CN"/>
        </w:rPr>
      </w:pPr>
      <w:r>
        <w:rPr>
          <w:rFonts w:hint="eastAsia" w:ascii="黑体" w:hAnsi="黑体" w:eastAsia="黑体" w:cs="黑体"/>
          <w:w w:val="115"/>
          <w:sz w:val="28"/>
          <w:szCs w:val="28"/>
          <w:vertAlign w:val="baseline"/>
          <w:lang w:val="en-US" w:eastAsia="zh-CN"/>
        </w:rPr>
        <w:t>1.1铬的性质与危害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w w:val="115"/>
          <w:sz w:val="24"/>
          <w:szCs w:val="24"/>
          <w:vertAlign w:val="baseline"/>
          <w:lang w:val="en-US" w:eastAsia="zh-CN"/>
        </w:rPr>
      </w:pPr>
      <w:r>
        <w:rPr>
          <w:rFonts w:hint="eastAsia" w:ascii="黑体" w:hAnsi="黑体" w:eastAsia="黑体" w:cs="黑体"/>
          <w:w w:val="115"/>
          <w:sz w:val="24"/>
          <w:szCs w:val="24"/>
          <w:vertAlign w:val="baseline"/>
          <w:lang w:val="en-US" w:eastAsia="zh-CN"/>
        </w:rPr>
        <w:t>1.1.1铬的性质及自然界分布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52" w:firstLineChars="200"/>
        <w:jc w:val="both"/>
        <w:textAlignment w:val="auto"/>
        <w:rPr>
          <w:rFonts w:hint="eastAsia" w:ascii="宋体" w:hAnsi="宋体" w:cs="宋体"/>
          <w:w w:val="115"/>
          <w:sz w:val="24"/>
          <w:szCs w:val="24"/>
          <w:vertAlign w:val="baseline"/>
          <w:lang w:val="en-US" w:eastAsia="zh-CN"/>
        </w:rPr>
      </w:pPr>
      <w:r>
        <w:rPr>
          <w:rFonts w:hint="eastAsia" w:ascii="宋体" w:hAnsi="宋体" w:cs="宋体"/>
          <w:w w:val="115"/>
          <w:sz w:val="24"/>
          <w:szCs w:val="24"/>
          <w:vertAlign w:val="baseline"/>
          <w:lang w:val="en-US" w:eastAsia="zh-CN"/>
        </w:rPr>
        <w:t>1796年，法国著名化学家沃克兰从当时称为红色西伯利亚矿石中首次分离出了铬。早在1766年，德国化学家列曼在俄罗斯圣彼得堡任化学教授时曾经对该矿石进行了分析，但仅仅确认其中含有铅。两年后，沃克兰以chrom给这种灰色针状金属命名，源于希腊语中的“颜色”（chroma），并赋予其元素符号Cr和拉丁名称chromium。在同一时期，克拉普罗特也从铬铅矿中分离出了铬。</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铬是元素周期表中ⅥB族的一种元素，化学符号为Cr，原子序数为24。其元素名称源于希腊文，意为“颜色”，因为铬的化合物通常具有明显的颜色。在单质状态下，铬为钢灰色金属。含有杂质的铬硬而脆，而高纯度的铬则具有良好的延展性和抗腐蚀性能。铬是自然界中硬度最大的金属之一。其相对原子质量为51.996，比重为7.188。铬的熔点为1860℃，沸点为2482℃。</w:t>
      </w:r>
      <w:r>
        <w:rPr>
          <w:rFonts w:hint="eastAsia" w:ascii="宋体" w:hAnsi="宋体" w:cs="宋体"/>
          <w:w w:val="115"/>
          <w:sz w:val="24"/>
          <w:szCs w:val="24"/>
          <w:vertAlign w:val="baseline"/>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铬在地壳中的含量约为0.01%，居第17位。相较于其他元素，铬在地壳中的分布比较广，仅次于钴、镍、钼和钨。这可能是因为铬的天然化合物比较稳定，难以还原并且不易溶于水。因此，有些人认为沃克兰最初获得的金属铬实际上是铬的碳化物。自然界中游离态的铬很罕见，大部分存在于铬铅矿中。铬在自然界中的存在形式主要是铬铁矿（FeCr2O4）。铬可以通过将氧化铬用铝还原或通过电解铬氨矾或铬酸得到。目前已在自然界中发现了约50种含铬矿物，其中大多数是氧化物、铬酸盐和硅酸盐。还有少数是氢氧化物、碘酸盐、氮化物和硫化物。氮化铬和硫化铬矿物只存在于陨石中。铬尖晶石是一类具有工业价值的铬矿物，其化学通式为(Mg,Fe2+)(Cr,Al,Fe3+)2O4或(Mg,Fe2+)O(Cr,Al,Fe3+)2O3，其中Cr2O3含量在18%~62%之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铬是一种有光泽呈银白色的金属，其密度为7.20g/cm3。纯铬具有延展性，但含有杂质时则硬且脆。铬具有非常高的耐腐蚀性，因此可以作为一种保护层镀在金属上。铬不溶于水，在空气中即使在赤热的状态下，氧化也很慢。</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i w:val="0"/>
          <w:iCs w:val="0"/>
          <w:caps w:val="0"/>
          <w:color w:val="333333"/>
          <w:spacing w:val="0"/>
          <w:sz w:val="24"/>
          <w:szCs w:val="24"/>
          <w:shd w:val="clear" w:color="auto" w:fill="auto"/>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铬的化学性质非常活泼，可以溶于稀盐酸和稀硫酸，形成相应的盐类。但是它不溶于碱和稀硝酸。铬在自然界中以多种价态的化合物形式存在，其中包括正二价、正三价、正六价等形式。正二价化合物氧化亚铬（CrO）不稳定，会被空气迅速氧化为正三价。正三价化合物比较稳定，其中最稳定的是三氧化二铬（Cr203）和三氯化铬（CrCl3）。正六价化合物主要有铬酸钾（K2CrO4）、重铬酸钾（K2Cr2O7）和铬酐（CrO3）。在自然环境中，正三价和正六价化合物可以互相转化。在有机物和还原剂的作用下，六价铬可以被还原为三价铬。金属铬在毒性方面是无毒的，但是三价铬是有毒的，而六价铬不仅毒性更大，还具有腐蚀性。</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r>
        <w:rPr>
          <w:rFonts w:hint="eastAsia" w:ascii="黑体" w:hAnsi="黑体" w:eastAsia="黑体" w:cs="黑体"/>
          <w:w w:val="115"/>
          <w:sz w:val="24"/>
          <w:szCs w:val="24"/>
          <w:vertAlign w:val="baseline"/>
          <w:lang w:val="en-US" w:eastAsia="zh-CN"/>
        </w:rPr>
        <w:t>1.1.2铬的危害</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2017年10月27日，国际癌症研究机构公布了致癌物清单，并经世界卫生组织初步整理参考，其中六价铬化合物被列入了1类致癌物清单。</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我国已经规定了六价铬在工业废水中的综合排放标准和生活饮用水中的标准限值，以及填海铬渣中水溶性六价铬的最高限值和危险废物鉴别标准。这些限制是为了防止六价铬对环境和人体造成危害。</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default"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六价铬是一种氧化剂，不仅对环境有污染作用，而且对人体健康有很大危害。它会导致动物体内的蛋白质发生变化，进而干扰酶系统，甚至造成DNA破坏和细胞毒性活性，具有强烈的致癌致畸变作用，因此被世界卫生组织列为强致癌物。含铬废物被列为国家危险废物名录，因为六价铬可以通过废水、废气、废渣排放进入外环境。</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pPr>
      <w:r>
        <w:rPr>
          <w:rFonts w:hint="eastAsia" w:ascii="宋体" w:hAnsi="宋体" w:eastAsia="宋体" w:cs="宋体"/>
          <w:w w:val="115"/>
          <w:sz w:val="24"/>
          <w:szCs w:val="24"/>
          <w:vertAlign w:val="baseline"/>
          <w:lang w:val="en-US" w:eastAsia="zh-CN"/>
        </w:rPr>
        <w:t>此外，六价铬还会导致多种接触性皮肤疾病和呼吸道疾病，以及严重的中毒症状，如头昏、恶心、便血、四肢发凉、腹痛和腹泻等。许多职业存在接触铬的机会，长期生活在高浓度六价铬环境中可能导致呼吸癌潜伏期超过15年。</w:t>
      </w:r>
      <w:r>
        <w:commentReference w:id="0"/>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left"/>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b/>
          <w:bCs/>
          <w:i w:val="0"/>
          <w:iCs w:val="0"/>
          <w:caps w:val="0"/>
          <w:color w:val="333333"/>
          <w:spacing w:val="0"/>
          <w:sz w:val="24"/>
          <w:szCs w:val="24"/>
          <w:shd w:val="clear" w:color="auto" w:fill="auto"/>
        </w:rPr>
        <w:t>对人体危害</w:t>
      </w:r>
      <w:r>
        <w:rPr>
          <w:rFonts w:hint="eastAsia" w:ascii="宋体" w:hAnsi="宋体" w:eastAsia="宋体" w:cs="宋体"/>
          <w:i w:val="0"/>
          <w:iCs w:val="0"/>
          <w:caps w:val="0"/>
          <w:color w:val="333333"/>
          <w:spacing w:val="0"/>
          <w:sz w:val="24"/>
          <w:szCs w:val="24"/>
          <w:shd w:val="clear" w:color="auto" w:fill="auto"/>
        </w:rPr>
        <w:t xml:space="preserve"> </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left"/>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关于铬化合物对人皮肤的危害，接触后可能会引起铬性皮肤溃疡，即铬疮。虽然铬化合物不会直接损伤完整的皮肤，但一旦擦伤皮肤后接触到铬化合物，就会对皮肤造成伤害。铬疮的发生与接触时间、个人皮肤过敏性、卫生习惯等因素有关。铬疮通常发生在手、臂和脚部等暴露部位，但只要皮肤发生破损，任何部位都可能发生。因为指甲根部是一个容易积存污垢、皮肤容易受损的部位，所以在这些部位也容易形成铬疮。在形成铬疮之前，皮肤通常会出现红肿、瘙痒等症状。如果不适当治疗，疮口可能会侵入深部形成硬块，四周凸起，中心凹陷、充满腐肉，呈灰红色，局部疼痛。疮口形似倒锥形，面积通常不超过3mm，有时可能大到12-30mm，或者小到针尖大小。如果忽视治疗，疾病可能会进一步恶化，深入骨部，疼痛剧烈，愈合时间漫长。此外，接触六价铬的皮肤还可能发生铬性皮炎和湿疹，患处皮肤会瘙痒并形成水泡。对于铬污染物过敏的人来说，仅仅数天的接触也足以引发皮炎，而铬过敏期可能长达3-6个月。湿疹通常发生在手和前臂等暴露部位，有时也可能发生在脚和踝部，甚至是面部、背部等地方。</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铬盐接触引发的职业病常见于呼吸道，表现为铬性鼻炎。铬性鼻炎早期症状包括鼻粘膜充血、肿胀、干燥、瘙痒、流血、嗅觉减退、粘液分泌增多和频繁打喷嚏等。病情进展后，鼻中隔可能会发生溃疡和穿孔，而溃疡和穿孔的程度可分为三个阶段：糜烂性鼻炎表现为鼻中隔粘膜糜烂，呈现灰白色斑点；溃疡性鼻炎表现为鼻中隔变薄，鼻粘膜呈凹性缺损，表面有浓性痂盖，鼻中粘膜苍白，嗅觉明显衰退；鼻中隔穿孔表现为鼻中隔软骨可见圆形或三角形的孔洞穿孔处有黄色痂，鼻粘膜萎缩，鼻腔干燥，而且没有明显的疼痛感。</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接触铬化合物可能会引起眼睛和眼皮及角膜的刺激和损伤，表现为眼球结膜充血、异物感、流泪刺痛、视力下降，严重时可能导致角膜上皮脱落。铬化合物对鼓膜和外耳的侵蚀并不常见，引起的溃疡情况少见。</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误食六价铬化合物可能导致口腔黏膜增厚，形成水肿的黄色痂皮，反胃呕吐，有时伴有出血，剧烈腹痛，肝脏肿大等症状，严重情况下甚至会导致循环衰竭、意识丧失，甚至死亡。而吸入六价铬化合物则可能具有致癌性，导致肺癌。</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很少出现全身中毒的情况，其症状包括头痛、体重减轻、肠胃不适、肝功能衰竭、肾脏受损、单核细胞增多、血钙及血磷含量升高等。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val="0"/>
          <w:iCs w:val="0"/>
          <w:caps w:val="0"/>
          <w:color w:val="333333"/>
          <w:spacing w:val="0"/>
          <w:sz w:val="24"/>
          <w:szCs w:val="24"/>
          <w:shd w:val="clear" w:color="auto" w:fill="auto"/>
        </w:rPr>
      </w:pPr>
      <w:r>
        <w:rPr>
          <w:rFonts w:hint="eastAsia" w:ascii="宋体" w:hAnsi="宋体" w:eastAsia="宋体" w:cs="宋体"/>
          <w:b/>
          <w:bCs/>
          <w:i w:val="0"/>
          <w:iCs w:val="0"/>
          <w:caps w:val="0"/>
          <w:color w:val="333333"/>
          <w:spacing w:val="0"/>
          <w:sz w:val="24"/>
          <w:szCs w:val="24"/>
          <w:shd w:val="clear" w:color="auto" w:fill="auto"/>
        </w:rPr>
        <w:t xml:space="preserve"> 铬危害途径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侵入途径：吸入、食入。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六价铬可通过吸入和食入进入人体，但三价铬对人体基本没有危害作用，未见有引起工业中毒的报道。铬进入人体后会积聚在人体组织中，代谢和清除速度缓慢。铬主要与血浆中的球蛋白、白蛋白、r-球蛋白结合，而六价铬则可透过红细胞膜，在15分钟内有50%的六价铬进入细胞。六价铬主要通过肾脏代谢排出，只有少量经过粪便排出。在人体内，六价铬可通过消化道、呼吸道、皮肤和粘膜侵入，主要积聚在肝、肾和内分泌腺等部位，而通过呼吸道进入的六价铬则容易积聚在肺部。六价铬具有强氧化作用，慢性中毒往往会从局部损害开始，逐渐发展到无法挽救的程度。如果经过呼吸道侵入人体，会首先侵害上呼吸道，引起鼻炎、咽炎、喉炎和支气管炎等症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val="0"/>
          <w:iCs w:val="0"/>
          <w:caps w:val="0"/>
          <w:color w:val="333333"/>
          <w:spacing w:val="0"/>
          <w:sz w:val="24"/>
          <w:szCs w:val="24"/>
          <w:shd w:val="clear" w:color="auto" w:fill="auto"/>
        </w:rPr>
      </w:pPr>
      <w:r>
        <w:rPr>
          <w:rFonts w:hint="eastAsia" w:ascii="宋体" w:hAnsi="宋体" w:eastAsia="宋体" w:cs="宋体"/>
          <w:b/>
          <w:bCs/>
          <w:i w:val="0"/>
          <w:iCs w:val="0"/>
          <w:caps w:val="0"/>
          <w:color w:val="333333"/>
          <w:spacing w:val="0"/>
          <w:sz w:val="24"/>
          <w:szCs w:val="24"/>
          <w:shd w:val="clear" w:color="auto" w:fill="auto"/>
        </w:rPr>
        <w:t xml:space="preserve"> 铬泄漏应急处理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切断火源。佩戴口罩和手套。进行回收处理。处理含有六价铬的废水的国内常用方法包括硫酸亚铁-石灰法、离子交换法和铁氧体法等。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i w:val="0"/>
          <w:iCs w:val="0"/>
          <w:caps w:val="0"/>
          <w:color w:val="333333"/>
          <w:spacing w:val="0"/>
          <w:sz w:val="24"/>
          <w:szCs w:val="24"/>
          <w:shd w:val="clear" w:color="auto" w:fill="auto"/>
        </w:rPr>
      </w:pPr>
      <w:r>
        <w:rPr>
          <w:rFonts w:hint="eastAsia" w:ascii="宋体" w:hAnsi="宋体" w:eastAsia="宋体" w:cs="宋体"/>
          <w:b/>
          <w:bCs/>
          <w:i w:val="0"/>
          <w:iCs w:val="0"/>
          <w:caps w:val="0"/>
          <w:color w:val="333333"/>
          <w:spacing w:val="0"/>
          <w:sz w:val="24"/>
          <w:szCs w:val="24"/>
          <w:shd w:val="clear" w:color="auto" w:fill="auto"/>
        </w:rPr>
        <w:t xml:space="preserve"> 铬急救措施 </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皮肤接触：脱下被污染的衣物，用流动的清水冲洗皮肤。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眼睛接触：立即翻开上下眼睑，用流动的清水或生理盐水冲洗眼睛。</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吸入：迅速离开现场到新鲜空气处。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i w:val="0"/>
          <w:iCs w:val="0"/>
          <w:caps w:val="0"/>
          <w:color w:val="333333"/>
          <w:spacing w:val="0"/>
          <w:sz w:val="24"/>
          <w:szCs w:val="24"/>
          <w:shd w:val="clear" w:color="auto" w:fill="auto"/>
        </w:rPr>
      </w:pPr>
      <w:r>
        <w:rPr>
          <w:rFonts w:hint="eastAsia" w:ascii="宋体" w:hAnsi="宋体" w:eastAsia="宋体" w:cs="宋体"/>
          <w:i w:val="0"/>
          <w:iCs w:val="0"/>
          <w:caps w:val="0"/>
          <w:color w:val="333333"/>
          <w:spacing w:val="0"/>
          <w:sz w:val="24"/>
          <w:szCs w:val="24"/>
          <w:shd w:val="clear" w:color="auto" w:fill="auto"/>
        </w:rPr>
        <w:t>食入：给予足量温水，引诱呕吐，寻求医疗帮助。</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8"/>
          <w:szCs w:val="28"/>
          <w:vertAlign w:val="baseline"/>
          <w:lang w:val="en-US" w:eastAsia="zh-CN"/>
        </w:rPr>
      </w:pPr>
      <w:r>
        <w:rPr>
          <w:rFonts w:hint="eastAsia" w:ascii="黑体" w:hAnsi="黑体" w:eastAsia="黑体" w:cs="黑体"/>
          <w:w w:val="115"/>
          <w:sz w:val="28"/>
          <w:szCs w:val="28"/>
          <w:vertAlign w:val="baseline"/>
          <w:lang w:val="en-US" w:eastAsia="zh-CN"/>
        </w:rPr>
        <w:t>1.2中国对铬资源的需求</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黑体" w:hAnsi="黑体" w:eastAsia="黑体" w:cs="黑体"/>
          <w:w w:val="115"/>
          <w:sz w:val="24"/>
          <w:szCs w:val="24"/>
          <w:vertAlign w:val="baseline"/>
          <w:lang w:val="en-US" w:eastAsia="zh-CN"/>
        </w:rPr>
      </w:pPr>
      <w:r>
        <w:rPr>
          <w:rFonts w:hint="eastAsia" w:ascii="黑体" w:hAnsi="黑体" w:eastAsia="黑体" w:cs="黑体"/>
          <w:w w:val="115"/>
          <w:sz w:val="24"/>
          <w:szCs w:val="24"/>
          <w:vertAlign w:val="baseline"/>
          <w:lang w:val="en-US" w:eastAsia="zh-CN"/>
        </w:rPr>
        <w:t>1.2.1国内铬矿资源概状</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i w:val="0"/>
          <w:iCs w:val="0"/>
          <w:caps w:val="0"/>
          <w:color w:val="333333"/>
          <w:spacing w:val="0"/>
          <w:kern w:val="0"/>
          <w:sz w:val="24"/>
          <w:szCs w:val="24"/>
          <w:shd w:val="clear" w:fill="FFFFFF"/>
          <w:lang w:val="en-US" w:eastAsia="zh-CN" w:bidi="ar"/>
        </w:rPr>
      </w:pPr>
      <w:r>
        <w:rPr>
          <w:rFonts w:hint="eastAsia" w:ascii="宋体" w:hAnsi="宋体" w:eastAsia="宋体" w:cs="宋体"/>
          <w:i w:val="0"/>
          <w:iCs w:val="0"/>
          <w:caps w:val="0"/>
          <w:color w:val="333333"/>
          <w:spacing w:val="0"/>
          <w:kern w:val="0"/>
          <w:sz w:val="24"/>
          <w:szCs w:val="24"/>
          <w:shd w:val="clear" w:fill="FFFFFF"/>
          <w:lang w:val="en-US" w:eastAsia="zh-CN" w:bidi="ar"/>
        </w:rPr>
        <w:t>亚铬酸盐是地壳中的一种广泛存在的矿物，全球储量高达18亿吨，可采储量超过8.1亿吨。全球亚铬酸盐的年开采量在2004年达到了1750万吨，其中南非开采了763万吨，哈萨克斯坦开采了327万吨，印度开采了295万吨，津巴布韦开采了67万吨，芬兰开采了58万吨。与此相比，中国铬矿资源相对较少，储量仅约为1078万吨，其中仅53.6%为富矿。中国铬矿大多数属于蛇绿岩型，是典型的与超基性岩有关的岩浆型矿床，在蛇绿岩带中分布。中国拥有56处铬矿产地，主要分布于内蒙古、新疆、西藏、甘肃等13个省（区），其中以西藏的铬矿储量最为丰富，约占全国一半。中国的铬铁矿属于短缺矿种，国内储量较少，产量也较低，因此每年需要大量进口以满足需求。</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i w:val="0"/>
          <w:iCs w:val="0"/>
          <w:caps w:val="0"/>
          <w:color w:val="333333"/>
          <w:spacing w:val="0"/>
          <w:kern w:val="0"/>
          <w:sz w:val="24"/>
          <w:szCs w:val="24"/>
          <w:shd w:val="clear" w:fill="FFFFFF"/>
          <w:lang w:val="en-US" w:eastAsia="zh-CN" w:bidi="ar"/>
        </w:rPr>
      </w:pPr>
      <w:r>
        <w:rPr>
          <w:rFonts w:hint="eastAsia" w:ascii="宋体" w:hAnsi="宋体" w:eastAsia="宋体" w:cs="宋体"/>
          <w:i w:val="0"/>
          <w:iCs w:val="0"/>
          <w:caps w:val="0"/>
          <w:color w:val="333333"/>
          <w:spacing w:val="0"/>
          <w:kern w:val="0"/>
          <w:sz w:val="24"/>
          <w:szCs w:val="24"/>
          <w:shd w:val="clear" w:fill="FFFFFF"/>
          <w:lang w:val="en-US" w:eastAsia="zh-CN" w:bidi="ar"/>
        </w:rPr>
        <w:t>在还原剂和硫的逸度较高情况下，铬具有亲硫性，同时表现出强烈的亲氧性和亲铁性。铬一般呈三价状态，随着地球内部热能的作用和矿物形成条件的不同而改变。在表生带碱性介质的强烈氧化条件下，Cr3+会被氧化成Cr6+，形成铬酸根离子，使得原本不活动的铬离子变成易溶的铬阴离子并发生迁移。当遇到极化性很强的离子，如Cu、Pb等，就会形成难溶的铬酸性矿物。Cr3+的离子半径与Al3+、Fe3+相近，因此它们之间可以呈现广泛的类质同象。此外，Mn、Mg、Ni、Co、Zn等元素也可以与铬类质同象代替，因此铬在镁铁硅酸盐矿物和副矿物中广泛存在。</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i w:val="0"/>
          <w:iCs w:val="0"/>
          <w:caps w:val="0"/>
          <w:color w:val="333333"/>
          <w:spacing w:val="0"/>
          <w:kern w:val="0"/>
          <w:sz w:val="24"/>
          <w:szCs w:val="24"/>
          <w:shd w:val="clear" w:fill="FFFFFF"/>
          <w:lang w:val="en-US" w:eastAsia="zh-CN" w:bidi="ar"/>
        </w:rPr>
      </w:pPr>
      <w:r>
        <w:rPr>
          <w:rFonts w:hint="eastAsia" w:ascii="宋体" w:hAnsi="宋体" w:eastAsia="宋体" w:cs="宋体"/>
          <w:i w:val="0"/>
          <w:iCs w:val="0"/>
          <w:caps w:val="0"/>
          <w:color w:val="333333"/>
          <w:spacing w:val="0"/>
          <w:kern w:val="0"/>
          <w:sz w:val="24"/>
          <w:szCs w:val="24"/>
          <w:shd w:val="clear" w:fill="FFFFFF"/>
          <w:lang w:val="en-US" w:eastAsia="zh-CN" w:bidi="ar"/>
        </w:rPr>
        <w:t>在冶金领域，铬铁矿主要用于生产金属铬和铬铁合金，以及作为特殊钢的添加剂，制造耐腐蚀、耐高温、抗磨损等特殊材料，例如不锈钢、耐火钢、弹簧钢、滚珠轴承钢等。特殊钢和特殊合金是航空、汽车、造船、军工和耐火材料等领域必不可少的材料，如枪炮、导弹、火箭、舰艇等。此外，铬铁矿也可用于生产铬砖、铬镁砖等耐火材料。</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i w:val="0"/>
          <w:iCs w:val="0"/>
          <w:caps w:val="0"/>
          <w:color w:val="333333"/>
          <w:spacing w:val="0"/>
          <w:kern w:val="0"/>
          <w:sz w:val="24"/>
          <w:szCs w:val="24"/>
          <w:shd w:val="clear" w:fill="FFFFFF"/>
          <w:lang w:val="en-US" w:eastAsia="zh-CN" w:bidi="ar"/>
        </w:rPr>
        <w:t>而在化学领域，铬铁矿主要用于生产重铬酸钠，进而制取其他铬化合物、颜料、纺织、电镀、制革等广泛应用于工业领域的物质。铬铁矿也可用于生产催化剂和触媒剂等。</w:t>
      </w:r>
      <w:r>
        <w:rPr>
          <w:rFonts w:hint="eastAsia" w:ascii="宋体" w:hAnsi="宋体" w:cs="宋体"/>
          <w:i w:val="0"/>
          <w:iCs w:val="0"/>
          <w:caps w:val="0"/>
          <w:color w:val="333333"/>
          <w:spacing w:val="0"/>
          <w:kern w:val="0"/>
          <w:sz w:val="24"/>
          <w:szCs w:val="24"/>
          <w:shd w:val="clear" w:fill="FFFFFF"/>
          <w:lang w:val="en-US" w:eastAsia="zh-CN" w:bidi="ar"/>
        </w:rPr>
        <w:t>具</w:t>
      </w:r>
      <w:r>
        <w:rPr>
          <w:rFonts w:hint="eastAsia" w:ascii="宋体" w:hAnsi="宋体" w:eastAsia="宋体" w:cs="宋体"/>
          <w:i w:val="0"/>
          <w:iCs w:val="0"/>
          <w:caps w:val="0"/>
          <w:color w:val="333333"/>
          <w:spacing w:val="0"/>
          <w:kern w:val="0"/>
          <w:sz w:val="24"/>
          <w:szCs w:val="24"/>
          <w:shd w:val="clear" w:fill="FFFFFF"/>
          <w:lang w:val="en-US" w:eastAsia="zh-CN" w:bidi="ar"/>
        </w:rPr>
        <w:t>有工业价值的铬矿物，其</w:t>
      </w:r>
      <w:r>
        <w:rPr>
          <w:rFonts w:hint="eastAsia" w:ascii="宋体" w:hAnsi="宋体" w:cs="宋体"/>
          <w:i w:val="0"/>
          <w:iCs w:val="0"/>
          <w:caps w:val="0"/>
          <w:color w:val="333333"/>
          <w:spacing w:val="0"/>
          <w:kern w:val="0"/>
          <w:sz w:val="24"/>
          <w:szCs w:val="24"/>
          <w:shd w:val="clear" w:fill="FFFFFF"/>
          <w:lang w:val="en-US" w:eastAsia="zh-CN" w:bidi="ar"/>
        </w:rPr>
        <w:t>中</w:t>
      </w:r>
      <w:r>
        <w:rPr>
          <w:rFonts w:hint="eastAsia" w:ascii="宋体" w:hAnsi="宋体" w:eastAsia="宋体" w:cs="宋体"/>
          <w:i w:val="0"/>
          <w:iCs w:val="0"/>
          <w:caps w:val="0"/>
          <w:color w:val="333333"/>
          <w:spacing w:val="0"/>
          <w:kern w:val="0"/>
          <w:sz w:val="24"/>
          <w:szCs w:val="24"/>
          <w:shd w:val="clear" w:fill="FFFFFF"/>
          <w:lang w:val="en-US" w:eastAsia="zh-CN" w:bidi="ar"/>
        </w:rPr>
        <w:t>一般都</w:t>
      </w:r>
      <w:r>
        <w:rPr>
          <w:rFonts w:hint="eastAsia" w:ascii="宋体" w:hAnsi="宋体" w:cs="宋体"/>
          <w:i w:val="0"/>
          <w:iCs w:val="0"/>
          <w:caps w:val="0"/>
          <w:color w:val="333333"/>
          <w:spacing w:val="0"/>
          <w:kern w:val="0"/>
          <w:sz w:val="24"/>
          <w:szCs w:val="24"/>
          <w:shd w:val="clear" w:fill="FFFFFF"/>
          <w:lang w:val="en-US" w:eastAsia="zh-CN" w:bidi="ar"/>
        </w:rPr>
        <w:t>有</w:t>
      </w:r>
      <w:r>
        <w:rPr>
          <w:rFonts w:hint="eastAsia" w:ascii="宋体" w:hAnsi="宋体" w:eastAsia="宋体" w:cs="宋体"/>
          <w:i w:val="0"/>
          <w:iCs w:val="0"/>
          <w:caps w:val="0"/>
          <w:color w:val="333333"/>
          <w:spacing w:val="0"/>
          <w:kern w:val="0"/>
          <w:sz w:val="24"/>
          <w:szCs w:val="24"/>
          <w:shd w:val="clear" w:fill="FFFFFF"/>
          <w:lang w:val="en-US" w:eastAsia="zh-CN" w:bidi="ar"/>
        </w:rPr>
        <w:t>30%以上</w:t>
      </w:r>
      <w:r>
        <w:rPr>
          <w:rFonts w:hint="eastAsia" w:ascii="宋体" w:hAnsi="宋体" w:cs="宋体"/>
          <w:i w:val="0"/>
          <w:iCs w:val="0"/>
          <w:caps w:val="0"/>
          <w:color w:val="333333"/>
          <w:spacing w:val="0"/>
          <w:kern w:val="0"/>
          <w:sz w:val="24"/>
          <w:szCs w:val="24"/>
          <w:shd w:val="clear" w:fill="FFFFFF"/>
          <w:lang w:val="en-US" w:eastAsia="zh-CN" w:bidi="ar"/>
        </w:rPr>
        <w:t>的</w:t>
      </w:r>
      <w:r>
        <w:rPr>
          <w:rFonts w:hint="eastAsia" w:ascii="宋体" w:hAnsi="宋体" w:eastAsia="宋体" w:cs="宋体"/>
          <w:i w:val="0"/>
          <w:iCs w:val="0"/>
          <w:caps w:val="0"/>
          <w:color w:val="333333"/>
          <w:spacing w:val="0"/>
          <w:kern w:val="0"/>
          <w:sz w:val="24"/>
          <w:szCs w:val="24"/>
          <w:shd w:val="clear" w:fill="FFFFFF"/>
          <w:lang w:val="en-US" w:eastAsia="zh-CN" w:bidi="ar"/>
        </w:rPr>
        <w:t>Cr</w:t>
      </w:r>
      <w:r>
        <w:rPr>
          <w:rFonts w:hint="eastAsia" w:ascii="宋体" w:hAnsi="宋体" w:eastAsia="宋体" w:cs="宋体"/>
          <w:i w:val="0"/>
          <w:iCs w:val="0"/>
          <w:caps w:val="0"/>
          <w:color w:val="333333"/>
          <w:spacing w:val="0"/>
          <w:kern w:val="0"/>
          <w:sz w:val="24"/>
          <w:szCs w:val="24"/>
          <w:shd w:val="clear" w:fill="FFFFFF"/>
          <w:vertAlign w:val="subscript"/>
          <w:lang w:val="en-US" w:eastAsia="zh-CN" w:bidi="ar"/>
        </w:rPr>
        <w:t>2</w:t>
      </w:r>
      <w:r>
        <w:rPr>
          <w:rFonts w:hint="eastAsia" w:ascii="宋体" w:hAnsi="宋体" w:eastAsia="宋体" w:cs="宋体"/>
          <w:i w:val="0"/>
          <w:iCs w:val="0"/>
          <w:caps w:val="0"/>
          <w:color w:val="333333"/>
          <w:spacing w:val="0"/>
          <w:kern w:val="0"/>
          <w:sz w:val="24"/>
          <w:szCs w:val="24"/>
          <w:shd w:val="clear" w:fill="FFFFFF"/>
          <w:lang w:val="en-US" w:eastAsia="zh-CN" w:bidi="ar"/>
        </w:rPr>
        <w:t>O</w:t>
      </w:r>
      <w:r>
        <w:rPr>
          <w:rFonts w:hint="eastAsia" w:ascii="宋体" w:hAnsi="宋体" w:eastAsia="宋体" w:cs="宋体"/>
          <w:i w:val="0"/>
          <w:iCs w:val="0"/>
          <w:caps w:val="0"/>
          <w:color w:val="333333"/>
          <w:spacing w:val="0"/>
          <w:kern w:val="0"/>
          <w:sz w:val="24"/>
          <w:szCs w:val="24"/>
          <w:shd w:val="clear" w:fill="FFFFFF"/>
          <w:vertAlign w:val="subscript"/>
          <w:lang w:val="en-US" w:eastAsia="zh-CN" w:bidi="ar"/>
        </w:rPr>
        <w:t>3</w:t>
      </w:r>
      <w:r>
        <w:rPr>
          <w:rFonts w:hint="eastAsia" w:ascii="宋体" w:hAnsi="宋体" w:eastAsia="宋体" w:cs="宋体"/>
          <w:i w:val="0"/>
          <w:iCs w:val="0"/>
          <w:caps w:val="0"/>
          <w:color w:val="333333"/>
          <w:spacing w:val="0"/>
          <w:kern w:val="0"/>
          <w:sz w:val="24"/>
          <w:szCs w:val="24"/>
          <w:shd w:val="clear" w:fill="FFFFFF"/>
          <w:lang w:val="en-US" w:eastAsia="zh-CN" w:bidi="ar"/>
        </w:rPr>
        <w:t>含量，</w:t>
      </w:r>
      <w:r>
        <w:rPr>
          <w:rFonts w:hint="eastAsia" w:ascii="宋体" w:hAnsi="宋体" w:cs="宋体"/>
          <w:i w:val="0"/>
          <w:iCs w:val="0"/>
          <w:caps w:val="0"/>
          <w:color w:val="333333"/>
          <w:spacing w:val="0"/>
          <w:kern w:val="0"/>
          <w:sz w:val="24"/>
          <w:szCs w:val="24"/>
          <w:shd w:val="clear" w:fill="FFFFFF"/>
          <w:lang w:val="en-US" w:eastAsia="zh-CN" w:bidi="ar"/>
        </w:rPr>
        <w:t>这</w:t>
      </w:r>
      <w:r>
        <w:rPr>
          <w:rFonts w:hint="eastAsia" w:ascii="宋体" w:hAnsi="宋体" w:eastAsia="宋体" w:cs="宋体"/>
          <w:i w:val="0"/>
          <w:iCs w:val="0"/>
          <w:caps w:val="0"/>
          <w:color w:val="333333"/>
          <w:spacing w:val="0"/>
          <w:kern w:val="0"/>
          <w:sz w:val="24"/>
          <w:szCs w:val="24"/>
          <w:shd w:val="clear" w:fill="FFFFFF"/>
          <w:lang w:val="en-US" w:eastAsia="zh-CN" w:bidi="ar"/>
        </w:rPr>
        <w:t>其中</w:t>
      </w:r>
      <w:r>
        <w:rPr>
          <w:rFonts w:hint="eastAsia" w:ascii="宋体" w:hAnsi="宋体" w:cs="宋体"/>
          <w:i w:val="0"/>
          <w:iCs w:val="0"/>
          <w:caps w:val="0"/>
          <w:color w:val="333333"/>
          <w:spacing w:val="0"/>
          <w:kern w:val="0"/>
          <w:sz w:val="24"/>
          <w:szCs w:val="24"/>
          <w:shd w:val="clear" w:fill="FFFFFF"/>
          <w:lang w:val="en-US" w:eastAsia="zh-CN" w:bidi="ar"/>
        </w:rPr>
        <w:t>比较</w:t>
      </w:r>
      <w:r>
        <w:rPr>
          <w:rFonts w:hint="eastAsia" w:ascii="宋体" w:hAnsi="宋体" w:eastAsia="宋体" w:cs="宋体"/>
          <w:i w:val="0"/>
          <w:iCs w:val="0"/>
          <w:caps w:val="0"/>
          <w:color w:val="333333"/>
          <w:spacing w:val="0"/>
          <w:kern w:val="0"/>
          <w:sz w:val="24"/>
          <w:szCs w:val="24"/>
          <w:shd w:val="clear" w:fill="FFFFFF"/>
          <w:lang w:val="en-US" w:eastAsia="zh-CN" w:bidi="ar"/>
        </w:rPr>
        <w:t>常见的是：</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kern w:val="0"/>
          <w:sz w:val="24"/>
          <w:szCs w:val="24"/>
          <w:shd w:val="clear" w:fill="FFFFFF"/>
          <w:lang w:val="en-US" w:eastAsia="zh-CN" w:bidi="ar"/>
        </w:rPr>
        <w:t>铬铁矿</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i w:val="0"/>
          <w:iCs w:val="0"/>
          <w:caps w:val="0"/>
          <w:color w:val="333333"/>
          <w:spacing w:val="0"/>
          <w:kern w:val="0"/>
          <w:sz w:val="24"/>
          <w:szCs w:val="24"/>
          <w:shd w:val="clear" w:fill="FFFFFF"/>
          <w:lang w:val="en-US" w:eastAsia="zh-CN" w:bidi="ar"/>
        </w:rPr>
      </w:pPr>
      <w:r>
        <w:rPr>
          <w:rFonts w:hint="eastAsia" w:ascii="宋体" w:hAnsi="宋体" w:eastAsia="宋体" w:cs="宋体"/>
          <w:i w:val="0"/>
          <w:iCs w:val="0"/>
          <w:caps w:val="0"/>
          <w:color w:val="333333"/>
          <w:spacing w:val="0"/>
          <w:kern w:val="0"/>
          <w:sz w:val="24"/>
          <w:szCs w:val="24"/>
          <w:shd w:val="clear" w:fill="FFFFFF"/>
          <w:lang w:val="en-US" w:eastAsia="zh-CN" w:bidi="ar"/>
        </w:rPr>
        <w:t>铬铁矿的化学成分为(Mg,Fe)Cr2O4，有时人们将亚铁铬铁矿和镁铬铁矿也称为铬铁矿，因为铬铁矿介于亚铁铬铁矿和镁铬铁矿之间。铬铁矿晶体呈细小的八面体，颜色为黑色，条痕呈褐色，通常呈粒状和致密块状集合体，具有半金属光泽和弱磁性，硬度为5.5，比重为4.2～4.8。铬铁矿是在超基性岩中形成的岩浆成因矿物，矿石常常转移到砂矿中。除了作为炼铬的主要矿物原料外，富含铁的劣质矿石还可用作高级耐火材料。铬铁矿是一种重要的矿物资源，其制备出的铬化合物、颜料和耐火材料等在工业上应用广泛，特别是在纺织、电镀、制革等领域。</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kern w:val="0"/>
          <w:sz w:val="24"/>
          <w:szCs w:val="24"/>
          <w:shd w:val="clear" w:fill="FFFFFF"/>
          <w:lang w:val="en-US" w:eastAsia="zh-CN" w:bidi="ar"/>
        </w:rPr>
        <w:t>硬铬尖晶石</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b w:val="0"/>
          <w:bCs w:val="0"/>
          <w:i w:val="0"/>
          <w:iCs w:val="0"/>
          <w:caps w:val="0"/>
          <w:color w:val="333333"/>
          <w:spacing w:val="0"/>
          <w:kern w:val="0"/>
          <w:sz w:val="24"/>
          <w:szCs w:val="24"/>
          <w:shd w:val="clear" w:fill="FFFFFF"/>
          <w:lang w:val="en-US" w:eastAsia="zh-CN" w:bidi="ar"/>
        </w:rPr>
      </w:pPr>
      <w:r>
        <w:rPr>
          <w:rFonts w:hint="eastAsia" w:ascii="宋体" w:hAnsi="宋体" w:eastAsia="宋体" w:cs="宋体"/>
          <w:b w:val="0"/>
          <w:bCs w:val="0"/>
          <w:i w:val="0"/>
          <w:iCs w:val="0"/>
          <w:caps w:val="0"/>
          <w:color w:val="333333"/>
          <w:spacing w:val="0"/>
          <w:kern w:val="0"/>
          <w:sz w:val="24"/>
          <w:szCs w:val="24"/>
          <w:shd w:val="clear" w:fill="FFFFFF"/>
          <w:lang w:val="en-US" w:eastAsia="zh-CN" w:bidi="ar"/>
        </w:rPr>
        <w:t>硬铬尖晶石是一种矿物，化学成分为(Mg,Fe)(Cr,Al)2O4，其中Cr2O3含量为32%～50%。它在形态、物理性质、成因、产状以及用途上与铬铁矿相似。</w:t>
      </w:r>
    </w:p>
    <w:p>
      <w:pPr>
        <w:keepNext w:val="0"/>
        <w:keepLines w:val="0"/>
        <w:pageBreakBefore w:val="0"/>
        <w:widowControl/>
        <w:suppressLineNumbers w:val="0"/>
        <w:shd w:val="clear" w:fill="FFFFFF"/>
        <w:kinsoku/>
        <w:wordWrap/>
        <w:overflowPunct/>
        <w:topLinePunct w:val="0"/>
        <w:autoSpaceDE/>
        <w:autoSpaceDN/>
        <w:bidi w:val="0"/>
        <w:adjustRightInd/>
        <w:snapToGrid/>
        <w:spacing w:after="150" w:afterAutospacing="0" w:line="360" w:lineRule="auto"/>
        <w:ind w:left="0" w:firstLine="420"/>
        <w:jc w:val="left"/>
        <w:textAlignment w:val="auto"/>
        <w:rPr>
          <w:rFonts w:hint="eastAsia" w:ascii="宋体" w:hAnsi="宋体" w:eastAsia="宋体" w:cs="宋体"/>
          <w:i w:val="0"/>
          <w:iCs w:val="0"/>
          <w:caps w:val="0"/>
          <w:color w:val="333333"/>
          <w:spacing w:val="0"/>
          <w:sz w:val="24"/>
          <w:szCs w:val="24"/>
        </w:rPr>
      </w:pPr>
      <w:r>
        <w:rPr>
          <w:rFonts w:hint="eastAsia" w:ascii="宋体" w:hAnsi="宋体" w:eastAsia="宋体" w:cs="宋体"/>
          <w:b/>
          <w:bCs/>
          <w:i w:val="0"/>
          <w:iCs w:val="0"/>
          <w:caps w:val="0"/>
          <w:color w:val="333333"/>
          <w:spacing w:val="0"/>
          <w:kern w:val="0"/>
          <w:sz w:val="24"/>
          <w:szCs w:val="24"/>
          <w:shd w:val="clear" w:fill="FFFFFF"/>
          <w:lang w:val="en-US" w:eastAsia="zh-CN" w:bidi="ar"/>
        </w:rPr>
        <w:t>富铬类晶石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i w:val="0"/>
          <w:iCs w:val="0"/>
          <w:caps w:val="0"/>
          <w:color w:val="333333"/>
          <w:spacing w:val="0"/>
          <w:kern w:val="0"/>
          <w:sz w:val="24"/>
          <w:szCs w:val="24"/>
          <w:shd w:val="clear" w:fill="FFFFFF"/>
          <w:lang w:val="en-US" w:eastAsia="zh-CN" w:bidi="ar"/>
        </w:rPr>
      </w:pPr>
      <w:r>
        <w:rPr>
          <w:rFonts w:hint="eastAsia" w:ascii="宋体" w:hAnsi="宋体" w:eastAsia="宋体" w:cs="宋体"/>
          <w:b w:val="0"/>
          <w:bCs w:val="0"/>
          <w:i w:val="0"/>
          <w:iCs w:val="0"/>
          <w:caps w:val="0"/>
          <w:color w:val="333333"/>
          <w:spacing w:val="0"/>
          <w:kern w:val="0"/>
          <w:sz w:val="24"/>
          <w:szCs w:val="24"/>
          <w:shd w:val="clear" w:fill="FFFFFF"/>
          <w:lang w:val="en-US" w:eastAsia="zh-CN" w:bidi="ar"/>
        </w:rPr>
        <w:t>铬铁尖晶石，又称铬铁矿或铝铬铁矿，其化学成分为Fe(Cr,Al)2O4，其中Cr2O3含量为32%～38%。与铬铁矿相似，铬铁尖晶石的形态、物理性质、成因、产状及用途也相同。</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黑体" w:hAnsi="黑体" w:eastAsia="黑体" w:cs="黑体"/>
          <w:w w:val="115"/>
          <w:sz w:val="24"/>
          <w:szCs w:val="24"/>
          <w:vertAlign w:val="baseline"/>
          <w:lang w:val="en-US" w:eastAsia="zh-CN"/>
        </w:rPr>
      </w:pPr>
      <w:r>
        <w:rPr>
          <w:rFonts w:hint="eastAsia" w:ascii="黑体" w:hAnsi="黑体" w:eastAsia="黑体" w:cs="黑体"/>
          <w:w w:val="115"/>
          <w:sz w:val="24"/>
          <w:szCs w:val="24"/>
          <w:vertAlign w:val="baseline"/>
          <w:lang w:val="en-US" w:eastAsia="zh-CN"/>
        </w:rPr>
        <w:t>1.2.2国内铬需求</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从铬的用途来看，其在冶金、化学、耐火材料和铸造工业中被广泛应用，其中以生产铬铁合金为主要消费领域，进而可用于生产不锈钢。随着汽车、建筑和家电等产业的迅速发展，不锈钢的消费量也快速增长。2001年我国不锈钢消费量超过美国成为世界第一后，一直保持着世界最大的不锈钢消费国地位。据相关资料，2003年我国人均不锈钢消费量仅为3kg，仅相当于发达国家的1/3，世界平均水平的3/4。2013年我国不锈钢消费量已达到1304.5万吨，占全球总消费量的40.2%。与2003年相比，国内人均不锈钢消费量已增长至每人9kg，已超过世界平均水平。尽管2015年国际和国内矿业形势严峻，但从2008年全球经济危机看，当时经济危机虽然导致不锈钢需求下降，但随着国际经济逐渐回暖和中国经济快速增长，矿产品需求也快速回升，这反映了需求的基本面未变。我国是世界上最大的不锈钢消费国，下游行业的快速增长带来了钢材市场的旺盛需求。自2014年以来，我国不锈钢消费量保持着稳定的增长。根据图1数据，截至2022年第一季度，我国不锈钢表观消费量为709.99万吨，同比下降了5.79%。未来几年，中国的不锈钢消费仍将保持快速增长，不锈钢工业在我国仍有巨大的发展潜力，因此对铬铁矿的消费需求也将持续增长。</w:t>
      </w:r>
      <w:r>
        <w:rPr>
          <w:rFonts w:ascii="宋体" w:hAnsi="宋体" w:eastAsia="宋体" w:cs="宋体"/>
          <w:sz w:val="24"/>
          <w:szCs w:val="24"/>
        </w:rPr>
        <w:drawing>
          <wp:inline distT="0" distB="0" distL="114300" distR="114300">
            <wp:extent cx="4947285" cy="3924935"/>
            <wp:effectExtent l="0" t="0" r="5715" b="12065"/>
            <wp:docPr id="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descr="IMG_256"/>
                    <pic:cNvPicPr>
                      <a:picLocks noChangeAspect="1"/>
                    </pic:cNvPicPr>
                  </pic:nvPicPr>
                  <pic:blipFill>
                    <a:blip r:embed="rId8"/>
                    <a:stretch>
                      <a:fillRect/>
                    </a:stretch>
                  </pic:blipFill>
                  <pic:spPr>
                    <a:xfrm>
                      <a:off x="0" y="0"/>
                      <a:ext cx="4947285" cy="39249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w w:val="115"/>
          <w:sz w:val="24"/>
          <w:szCs w:val="24"/>
          <w:vertAlign w:val="baseline"/>
          <w:lang w:val="en-US" w:eastAsia="zh-CN"/>
        </w:rPr>
      </w:pPr>
      <w:r>
        <w:rPr>
          <w:rFonts w:hint="eastAsia" w:ascii="宋体" w:hAnsi="宋体" w:cs="宋体"/>
          <w:b/>
          <w:bCs/>
          <w:sz w:val="24"/>
          <w:szCs w:val="24"/>
          <w:lang w:val="en-US" w:eastAsia="zh-CN"/>
        </w:rPr>
        <w:t>图1 2014-2022年</w:t>
      </w:r>
      <w:r>
        <w:rPr>
          <w:rFonts w:hint="eastAsia" w:ascii="宋体" w:hAnsi="宋体" w:eastAsia="宋体" w:cs="宋体"/>
          <w:b/>
          <w:bCs/>
          <w:i w:val="0"/>
          <w:iCs w:val="0"/>
          <w:caps w:val="0"/>
          <w:color w:val="222222"/>
          <w:spacing w:val="0"/>
          <w:sz w:val="24"/>
          <w:szCs w:val="24"/>
          <w:shd w:val="clear" w:color="auto" w:fill="FFFFFF"/>
        </w:rPr>
        <w:t>我国不锈钢表观消费量</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铬是不锈钢生产的重要合金元素之一，但国内铬资源储量十分有限，这对中国不锈钢产业的发展构成了制约。图2展示了2011年至2019年间中国不锈钢产量及其占世界总产量的比例。随着不锈钢行业的迅速发展，中国不锈钢产量从2011年的1409万吨增长至2019年的2940万吨。自2006年起，中国一直是世界最大的不锈钢生产国，同时也是铬资源的最大消费国。</w:t>
      </w:r>
      <w:r>
        <w:rPr>
          <w:rFonts w:hint="eastAsia" w:ascii="宋体" w:hAnsi="宋体" w:eastAsia="宋体" w:cs="宋体"/>
          <w:w w:val="115"/>
          <w:sz w:val="24"/>
          <w:szCs w:val="24"/>
          <w:vertAlign w:val="baseline"/>
          <w:lang w:val="en-US" w:eastAsia="zh-CN"/>
        </w:rPr>
        <w:drawing>
          <wp:inline distT="0" distB="0" distL="114300" distR="114300">
            <wp:extent cx="5243830" cy="3742690"/>
            <wp:effectExtent l="0" t="0" r="1270" b="3810"/>
            <wp:docPr id="5" name="图片 6" descr="ZGYE202101016_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ZGYE202101016_058"/>
                    <pic:cNvPicPr>
                      <a:picLocks noChangeAspect="1"/>
                    </pic:cNvPicPr>
                  </pic:nvPicPr>
                  <pic:blipFill>
                    <a:blip r:embed="rId9"/>
                    <a:stretch>
                      <a:fillRect/>
                    </a:stretch>
                  </pic:blipFill>
                  <pic:spPr>
                    <a:xfrm>
                      <a:off x="0" y="0"/>
                      <a:ext cx="5243830" cy="37426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b/>
          <w:bCs/>
          <w:w w:val="115"/>
          <w:sz w:val="24"/>
          <w:szCs w:val="24"/>
          <w:vertAlign w:val="baseline"/>
          <w:lang w:val="en-US" w:eastAsia="zh-CN"/>
        </w:rPr>
      </w:pPr>
      <w:r>
        <w:rPr>
          <w:rFonts w:hint="eastAsia" w:ascii="宋体" w:hAnsi="宋体" w:cs="宋体"/>
          <w:b/>
          <w:bCs/>
          <w:w w:val="115"/>
          <w:sz w:val="24"/>
          <w:szCs w:val="24"/>
          <w:vertAlign w:val="baseline"/>
          <w:lang w:val="en-US" w:eastAsia="zh-CN"/>
        </w:rPr>
        <w:t xml:space="preserve">图2 </w:t>
      </w:r>
      <w:r>
        <w:rPr>
          <w:rFonts w:hint="eastAsia" w:ascii="宋体" w:hAnsi="宋体" w:eastAsia="宋体" w:cs="宋体"/>
          <w:b/>
          <w:bCs/>
          <w:w w:val="115"/>
          <w:sz w:val="24"/>
          <w:szCs w:val="24"/>
          <w:vertAlign w:val="baseline"/>
          <w:lang w:val="en-US" w:eastAsia="zh-CN"/>
        </w:rPr>
        <w:t>2011-2019年中国不锈钢产量及占世界总产量分数</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cs="宋体"/>
          <w:w w:val="115"/>
          <w:sz w:val="24"/>
          <w:szCs w:val="24"/>
          <w:vertAlign w:val="baseline"/>
          <w:lang w:val="en-US" w:eastAsia="zh-CN"/>
        </w:rPr>
      </w:pPr>
      <w:r>
        <w:rPr>
          <w:rFonts w:hint="eastAsia" w:ascii="宋体" w:hAnsi="宋体" w:cs="宋体"/>
          <w:w w:val="115"/>
          <w:sz w:val="24"/>
          <w:szCs w:val="24"/>
          <w:vertAlign w:val="baseline"/>
          <w:lang w:val="en-US" w:eastAsia="zh-CN"/>
        </w:rPr>
        <w:t xml:space="preserve">  </w:t>
      </w:r>
      <w:r>
        <w:rPr>
          <w:rFonts w:hint="default" w:ascii="宋体" w:hAnsi="宋体" w:cs="宋体"/>
          <w:w w:val="115"/>
          <w:sz w:val="24"/>
          <w:szCs w:val="24"/>
          <w:vertAlign w:val="baseline"/>
          <w:lang w:val="en-US" w:eastAsia="zh-CN"/>
        </w:rPr>
        <w:t>以图3为据，可以发现自2010年至2019年，中国的铬铁矿进口量一直在增加。值得注意的是，中国的铬铁矿年产量仅占全球产量的不到1%。据郑明贵等人的研究，未来中国的铬矿产能将基本稳定，因此中国的铬铁矿进口依存度将达到98%以上，这表明中国未来对铬资源的需求将会持续增加。</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cs="宋体"/>
          <w:w w:val="115"/>
          <w:sz w:val="24"/>
          <w:szCs w:val="24"/>
          <w:vertAlign w:val="baseline"/>
          <w:lang w:val="en-US" w:eastAsia="zh-CN"/>
        </w:rPr>
      </w:pPr>
      <w:r>
        <w:rPr>
          <w:rFonts w:hint="default" w:ascii="宋体" w:hAnsi="宋体" w:cs="宋体"/>
          <w:w w:val="115"/>
          <w:sz w:val="24"/>
          <w:szCs w:val="24"/>
          <w:vertAlign w:val="baseline"/>
          <w:lang w:val="en-US" w:eastAsia="zh-CN"/>
        </w:rPr>
        <w:drawing>
          <wp:inline distT="0" distB="0" distL="114300" distR="114300">
            <wp:extent cx="5565140" cy="3714115"/>
            <wp:effectExtent l="0" t="0" r="10160" b="6985"/>
            <wp:docPr id="6" name="图片 24" descr="THJN202004018_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4" descr="THJN202004018_056"/>
                    <pic:cNvPicPr>
                      <a:picLocks noChangeAspect="1"/>
                    </pic:cNvPicPr>
                  </pic:nvPicPr>
                  <pic:blipFill>
                    <a:blip r:embed="rId10"/>
                    <a:stretch>
                      <a:fillRect/>
                    </a:stretch>
                  </pic:blipFill>
                  <pic:spPr>
                    <a:xfrm>
                      <a:off x="0" y="0"/>
                      <a:ext cx="5565140" cy="3714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w w:val="115"/>
          <w:sz w:val="24"/>
          <w:szCs w:val="24"/>
          <w:vertAlign w:val="baseline"/>
          <w:lang w:val="en-US" w:eastAsia="zh-CN"/>
        </w:rPr>
      </w:pPr>
      <w:r>
        <w:rPr>
          <w:rFonts w:hint="eastAsia" w:ascii="宋体" w:hAnsi="宋体" w:eastAsia="宋体" w:cs="宋体"/>
          <w:b/>
          <w:bCs/>
          <w:w w:val="115"/>
          <w:sz w:val="24"/>
          <w:szCs w:val="24"/>
          <w:vertAlign w:val="baseline"/>
          <w:lang w:val="en-US" w:eastAsia="zh-CN"/>
        </w:rPr>
        <w:t>图3 2010-2018年中国铬铁矿进口量</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bCs/>
          <w:w w:val="115"/>
          <w:sz w:val="24"/>
          <w:szCs w:val="24"/>
          <w:vertAlign w:val="baseline"/>
          <w:lang w:val="en-US" w:eastAsia="zh-CN"/>
        </w:rPr>
      </w:pPr>
      <w:r>
        <w:rPr>
          <w:rFonts w:hint="eastAsia" w:ascii="宋体" w:hAnsi="宋体" w:eastAsia="宋体" w:cs="宋体"/>
          <w:b/>
          <w:bCs/>
          <w:w w:val="115"/>
          <w:sz w:val="24"/>
          <w:szCs w:val="24"/>
          <w:vertAlign w:val="baseline"/>
          <w:lang w:val="en-US" w:eastAsia="zh-CN"/>
        </w:rPr>
        <w:t>1.2.3我国2021-2035年铬供需形势分析</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w w:val="115"/>
          <w:sz w:val="24"/>
          <w:szCs w:val="24"/>
          <w:vertAlign w:val="baseline"/>
          <w:lang w:val="en-US" w:eastAsia="zh-CN"/>
        </w:rPr>
      </w:pPr>
      <w:r>
        <w:rPr>
          <w:rFonts w:hint="eastAsia" w:ascii="宋体" w:hAnsi="宋体" w:eastAsia="宋体" w:cs="宋体"/>
          <w:b w:val="0"/>
          <w:bCs w:val="0"/>
          <w:w w:val="115"/>
          <w:sz w:val="24"/>
          <w:szCs w:val="24"/>
          <w:vertAlign w:val="baseline"/>
          <w:lang w:val="en-US" w:eastAsia="zh-CN"/>
        </w:rPr>
        <w:drawing>
          <wp:inline distT="0" distB="0" distL="114300" distR="114300">
            <wp:extent cx="5409565" cy="3943985"/>
            <wp:effectExtent l="0" t="0" r="635" b="5715"/>
            <wp:docPr id="7" name="图片 26" descr="DIZI20230216003_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6" descr="DIZI20230216003_189"/>
                    <pic:cNvPicPr>
                      <a:picLocks noChangeAspect="1"/>
                    </pic:cNvPicPr>
                  </pic:nvPicPr>
                  <pic:blipFill>
                    <a:blip r:embed="rId11"/>
                    <a:stretch>
                      <a:fillRect/>
                    </a:stretch>
                  </pic:blipFill>
                  <pic:spPr>
                    <a:xfrm>
                      <a:off x="0" y="0"/>
                      <a:ext cx="5409565" cy="39439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w w:val="115"/>
          <w:sz w:val="24"/>
          <w:szCs w:val="24"/>
          <w:vertAlign w:val="baseline"/>
          <w:lang w:val="en-US" w:eastAsia="zh-CN"/>
        </w:rPr>
      </w:pPr>
      <w:r>
        <w:rPr>
          <w:rFonts w:hint="eastAsia" w:ascii="宋体" w:hAnsi="宋体" w:eastAsia="宋体" w:cs="宋体"/>
          <w:b w:val="0"/>
          <w:bCs w:val="0"/>
          <w:w w:val="115"/>
          <w:sz w:val="24"/>
          <w:szCs w:val="24"/>
          <w:vertAlign w:val="baseline"/>
          <w:lang w:val="en-US" w:eastAsia="zh-CN"/>
        </w:rPr>
        <w:t>图4中国2021-2035年铬供需趋势 (不含二次铬产量)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w w:val="115"/>
          <w:sz w:val="24"/>
          <w:szCs w:val="24"/>
          <w:vertAlign w:val="baseline"/>
          <w:lang w:val="en-US" w:eastAsia="zh-CN"/>
        </w:rPr>
      </w:pPr>
      <w:r>
        <w:rPr>
          <w:rFonts w:hint="eastAsia" w:ascii="宋体" w:hAnsi="宋体" w:eastAsia="宋体" w:cs="宋体"/>
          <w:b w:val="0"/>
          <w:bCs w:val="0"/>
          <w:w w:val="115"/>
          <w:sz w:val="24"/>
          <w:szCs w:val="24"/>
          <w:vertAlign w:val="baseline"/>
          <w:lang w:val="en-US" w:eastAsia="zh-CN"/>
        </w:rPr>
        <w:drawing>
          <wp:inline distT="0" distB="0" distL="114300" distR="114300">
            <wp:extent cx="5151755" cy="3530600"/>
            <wp:effectExtent l="0" t="0" r="4445" b="0"/>
            <wp:docPr id="8" name="图片 25" descr="DIZI20230216003_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descr="DIZI20230216003_191"/>
                    <pic:cNvPicPr>
                      <a:picLocks noChangeAspect="1"/>
                    </pic:cNvPicPr>
                  </pic:nvPicPr>
                  <pic:blipFill>
                    <a:blip r:embed="rId12"/>
                    <a:stretch>
                      <a:fillRect/>
                    </a:stretch>
                  </pic:blipFill>
                  <pic:spPr>
                    <a:xfrm>
                      <a:off x="0" y="0"/>
                      <a:ext cx="5151755" cy="3530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val="0"/>
          <w:w w:val="115"/>
          <w:sz w:val="24"/>
          <w:szCs w:val="24"/>
          <w:vertAlign w:val="baseline"/>
          <w:lang w:val="en-US" w:eastAsia="zh-CN"/>
        </w:rPr>
      </w:pPr>
      <w:r>
        <w:rPr>
          <w:rFonts w:hint="eastAsia" w:ascii="宋体" w:hAnsi="宋体" w:eastAsia="宋体" w:cs="宋体"/>
          <w:b w:val="0"/>
          <w:bCs w:val="0"/>
          <w:w w:val="115"/>
          <w:sz w:val="24"/>
          <w:szCs w:val="24"/>
          <w:vertAlign w:val="baseline"/>
          <w:lang w:val="en-US" w:eastAsia="zh-CN"/>
        </w:rPr>
        <w:t>图5中国2021-2035年铬供需趋势 (含二次铬产量)</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宋体" w:hAnsi="宋体" w:eastAsia="宋体" w:cs="宋体"/>
          <w:b w:val="0"/>
          <w:bCs w:val="0"/>
          <w:w w:val="115"/>
          <w:sz w:val="24"/>
          <w:szCs w:val="24"/>
          <w:vertAlign w:val="baseline"/>
          <w:lang w:val="en-US" w:eastAsia="zh-CN"/>
        </w:rPr>
      </w:pPr>
      <w:r>
        <w:rPr>
          <w:rFonts w:hint="eastAsia" w:ascii="宋体" w:hAnsi="宋体" w:eastAsia="宋体" w:cs="宋体"/>
          <w:b w:val="0"/>
          <w:bCs w:val="0"/>
          <w:w w:val="115"/>
          <w:sz w:val="24"/>
          <w:szCs w:val="24"/>
          <w:vertAlign w:val="baseline"/>
          <w:lang w:val="en-US" w:eastAsia="zh-CN"/>
        </w:rPr>
        <w:t>基于2021年至2035年的中国铬供应量和铬需求量预测结果，我们对中国的铬供需形势进行了分析和综合研究，相关数据如图4和图5所示。</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w w:val="115"/>
          <w:sz w:val="24"/>
          <w:szCs w:val="24"/>
          <w:vertAlign w:val="baseline"/>
          <w:lang w:val="en-US" w:eastAsia="zh-CN"/>
        </w:rPr>
      </w:pPr>
      <w:r>
        <w:rPr>
          <w:rFonts w:hint="eastAsia" w:ascii="宋体" w:hAnsi="宋体" w:eastAsia="宋体" w:cs="宋体"/>
          <w:b w:val="0"/>
          <w:bCs w:val="0"/>
          <w:w w:val="115"/>
          <w:sz w:val="24"/>
          <w:szCs w:val="24"/>
          <w:vertAlign w:val="baseline"/>
          <w:lang w:val="en-US" w:eastAsia="zh-CN"/>
        </w:rPr>
        <w:t>(1)预测显示，2021年至2035年期间，中国的矿山铬供应量将非常有限。随着中国不锈钢产量的增加，铬总需求量将不断增长，并于2032年达到峰值。不考虑二次铬产量，中国将严重依赖进口，对外依存度将超过99％；即使考虑二次铬产量，对外依存度也仍在69％以上，铬供需形势依然严峻。</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w w:val="115"/>
          <w:sz w:val="24"/>
          <w:szCs w:val="24"/>
          <w:vertAlign w:val="baseline"/>
          <w:lang w:val="en-US" w:eastAsia="zh-CN"/>
        </w:rPr>
      </w:pPr>
      <w:r>
        <w:rPr>
          <w:rFonts w:hint="eastAsia" w:ascii="宋体" w:hAnsi="宋体" w:eastAsia="宋体" w:cs="宋体"/>
          <w:b w:val="0"/>
          <w:bCs w:val="0"/>
          <w:w w:val="115"/>
          <w:sz w:val="24"/>
          <w:szCs w:val="24"/>
          <w:vertAlign w:val="baseline"/>
          <w:lang w:val="en-US" w:eastAsia="zh-CN"/>
        </w:rPr>
        <w:t>(2)2021年至2035年期间，中国矿山铬对铬总需求的保障率为0.53％至0.76％，铬矿资源的保障率非常低。如果考虑二次铬产量，则铬保障率可提高至30.53％至30.76％。因此，通过回收不锈钢，增加二次铬产量，是提高中国铬对需求保障率的有效途径。</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Times New Roman" w:hAnsi="Times New Roman" w:eastAsia="黑体" w:cs="Times New Roman"/>
          <w:w w:val="115"/>
          <w:sz w:val="28"/>
          <w:szCs w:val="28"/>
          <w:vertAlign w:val="baseline"/>
          <w:lang w:val="en-US" w:eastAsia="zh-CN"/>
        </w:rPr>
      </w:pPr>
      <w:r>
        <w:rPr>
          <w:rFonts w:hint="eastAsia" w:ascii="宋体" w:hAnsi="宋体" w:eastAsia="宋体" w:cs="宋体"/>
          <w:b w:val="0"/>
          <w:bCs w:val="0"/>
          <w:w w:val="115"/>
          <w:sz w:val="24"/>
          <w:szCs w:val="24"/>
          <w:vertAlign w:val="baseline"/>
          <w:lang w:val="en-US" w:eastAsia="zh-CN"/>
        </w:rPr>
        <w:t>(3)2021年至2035年期间，不考虑二次铬产量的情况下，中国的铬供需缺口预计将达到602.69万至939.52万吨。但如果考虑二次铬产量，则供需缺口将降至402.51万至655.9万吨。中国将主要依靠进口来解决铬供需缺口。</w:t>
      </w:r>
      <w:r>
        <w:rPr>
          <w:rFonts w:hint="default" w:ascii="Times New Roman" w:hAnsi="Times New Roman" w:eastAsia="黑体" w:cs="Times New Roman"/>
          <w:w w:val="115"/>
          <w:sz w:val="28"/>
          <w:szCs w:val="28"/>
          <w:vertAlign w:val="baseline"/>
          <w:lang w:val="en-US" w:eastAsia="zh-CN"/>
        </w:rPr>
        <w:t>1.</w:t>
      </w:r>
      <w:r>
        <w:rPr>
          <w:rFonts w:hint="eastAsia" w:ascii="Times New Roman" w:hAnsi="Times New Roman" w:eastAsia="黑体" w:cs="Times New Roman"/>
          <w:w w:val="115"/>
          <w:sz w:val="28"/>
          <w:szCs w:val="28"/>
          <w:vertAlign w:val="baseline"/>
          <w:lang w:val="en-US" w:eastAsia="zh-CN"/>
        </w:rPr>
        <w:t>3含铬不锈钢渣及铬渣现状</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cs="宋体"/>
          <w:w w:val="115"/>
          <w:sz w:val="24"/>
          <w:szCs w:val="24"/>
          <w:vertAlign w:val="baseline"/>
          <w:lang w:val="en-US" w:eastAsia="zh-CN"/>
        </w:rPr>
      </w:pPr>
      <w:r>
        <w:rPr>
          <w:rFonts w:hint="eastAsia" w:ascii="黑体" w:hAnsi="黑体" w:eastAsia="黑体" w:cs="黑体"/>
          <w:w w:val="115"/>
          <w:sz w:val="24"/>
          <w:szCs w:val="24"/>
          <w:vertAlign w:val="baseline"/>
          <w:lang w:val="en-US" w:eastAsia="zh-CN"/>
        </w:rPr>
        <w:t>1.3.1</w:t>
      </w:r>
      <w:r>
        <w:rPr>
          <w:rFonts w:hint="eastAsia" w:ascii="Times New Roman" w:hAnsi="Times New Roman" w:eastAsia="黑体" w:cs="Times New Roman"/>
          <w:w w:val="115"/>
          <w:sz w:val="24"/>
          <w:szCs w:val="24"/>
          <w:vertAlign w:val="baseline"/>
          <w:lang w:val="en-US" w:eastAsia="zh-CN"/>
        </w:rPr>
        <w:t>不锈钢渣现状</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目前中国是全球最大的不锈钢生产国，而铬铁矿是不锈钢生产的重要原料，是一种战略性资源。然而，国内的铬矿资源探明储量不足、分布不均、开采条件差、贫矿所占比例大等特点，导致进口依存度非常高。因此，中国对铬资源需求巨大。</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废不锈钢资源的主要来源包括工业制造和不锈钢生产过程中产生的废料，以及日常生活中使用后报废的不锈钢器具。这些废料只能进行回收再利用，并重新加工成为其他不锈钢制品。</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废不锈钢资源分布广泛，主要包括以下几个方面：一是不锈钢生产过程中产生的废钢，如铸余、切头、切尾、切边等；二是不锈钢制品制造或工程建设过程中产生的废钢，如边角料、车切屑等；三是不锈钢制品生命周期结束后回收的废不锈钢，如废旧设备或拆除的废旧建筑材料等；四是从国外进口废不锈钢和从进口废旧设备物资中挑选出来的废不锈钢；五是不锈钢生产、制品制造过程中回收的粉尘、废渣、酸洗泥等废弃物中也有一定数量的废不锈钢资源。</w:t>
      </w:r>
    </w:p>
    <w:p>
      <w:pPr>
        <w:keepNext w:val="0"/>
        <w:keepLines w:val="0"/>
        <w:pageBreakBefore w:val="0"/>
        <w:widowControl w:val="0"/>
        <w:kinsoku/>
        <w:wordWrap/>
        <w:overflowPunct/>
        <w:topLinePunct w:val="0"/>
        <w:autoSpaceDE/>
        <w:autoSpaceDN/>
        <w:bidi w:val="0"/>
        <w:adjustRightInd/>
        <w:snapToGrid/>
        <w:spacing w:line="360" w:lineRule="auto"/>
        <w:ind w:firstLine="552" w:firstLineChars="200"/>
        <w:jc w:val="left"/>
        <w:textAlignment w:val="auto"/>
        <w:rPr>
          <w:rFonts w:hint="eastAsia" w:ascii="Times New Roman" w:hAnsi="Times New Roman" w:cs="Times New Roman"/>
          <w:spacing w:val="-2"/>
          <w:w w:val="110"/>
          <w:sz w:val="24"/>
          <w:szCs w:val="24"/>
          <w:lang w:eastAsia="zh-CN"/>
        </w:rPr>
      </w:pPr>
      <w:r>
        <w:rPr>
          <w:rFonts w:hint="default" w:ascii="Times New Roman" w:hAnsi="Times New Roman" w:eastAsia="宋体" w:cs="Times New Roman"/>
          <w:w w:val="115"/>
          <w:sz w:val="24"/>
          <w:szCs w:val="24"/>
          <w:vertAlign w:val="baseline"/>
          <w:lang w:val="en-US" w:eastAsia="zh-CN"/>
        </w:rPr>
        <w:t>每年，不锈钢行业会产生大量的废料，其中不锈钢渣是炼钢和炼钢过程中的副产品，含有大量铬（约占4%）。不同基体组织的不锈钢按照铬的含量分为多种类型：铁素体不锈钢（含铬量12%~30%），随着铬含量的增加，其耐蚀性、韧性和可焊接性也会增强；奥氏体不锈钢（含铬量大于18%，还含有约8%的镍及少量的钼、钛、氮等元素），综合性能较好，可以耐多种介质腐蚀；奥氏体-铁素体双相不锈钢兼有奥氏体和铁素体不锈钢的优点，并具有超塑性；马氏体不锈钢是一类可硬化不锈钢，强度高，但塑性和韧性较差，分为铬不锈钢和铬镍不锈钢两类。不锈钢渣主要由脉石和金属氧化物组成。在严格的分类方面，废不锈钢应该按照不锈钢型号、牌号和标号分别挑选、分别存放。但在实际操作中，这样做存在一定的困难。因此，根据废不锈钢的成分进行分类、分选、检测、加工和仓储非常重要。据Johnson等人估计，到2000年，全球约有46,000吨铬被困在不锈钢渣中而造成浪费。据欧盟委员会表示，铬是一种关键原材料，对欧盟的经济和供应风险具有重要意义。随着国内不锈钢产量的增加，不锈钢生产过程中造成的铬资源浪费也日益增加。</w:t>
      </w:r>
      <w:r>
        <w:rPr>
          <w:rFonts w:hint="eastAsia" w:ascii="Times New Roman" w:hAnsi="Times New Roman" w:cs="Times New Roman"/>
          <w:spacing w:val="-2"/>
          <w:w w:val="110"/>
          <w:sz w:val="24"/>
          <w:szCs w:val="24"/>
          <w:lang w:eastAsia="zh-CN"/>
        </w:rPr>
        <w:t>根据目前可得数据，在实际生产过程中，每生产100吨不锈钢就会产生约18-33公斤的粉尘和约250公斤的不锈钢渣。铬铁粉尘中，约20%的铬以Cr6+的形式存在。此外，不锈钢酸洗污泥也占不锈钢总产量的3%-5%。这些固体废物中包含许多有价金属，如铁、铬、镍、锰等。此外，铬盐、电镀和其他化学工业也会产生大量高铬固体废物。正因为这些铬资源无法有效利用，随着时间的推移，会造成巨大的损失。</w:t>
      </w:r>
    </w:p>
    <w:p>
      <w:pPr>
        <w:keepNext w:val="0"/>
        <w:keepLines w:val="0"/>
        <w:pageBreakBefore w:val="0"/>
        <w:widowControl w:val="0"/>
        <w:kinsoku/>
        <w:wordWrap/>
        <w:overflowPunct/>
        <w:topLinePunct w:val="0"/>
        <w:autoSpaceDE/>
        <w:autoSpaceDN/>
        <w:bidi w:val="0"/>
        <w:adjustRightInd/>
        <w:snapToGrid/>
        <w:spacing w:line="360" w:lineRule="auto"/>
        <w:ind w:firstLine="520" w:firstLineChars="200"/>
        <w:jc w:val="left"/>
        <w:textAlignment w:val="auto"/>
        <w:rPr>
          <w:rFonts w:hint="eastAsia" w:ascii="Times New Roman" w:hAnsi="Times New Roman" w:cs="Times New Roman"/>
          <w:spacing w:val="-2"/>
          <w:w w:val="110"/>
          <w:sz w:val="24"/>
          <w:szCs w:val="24"/>
          <w:lang w:eastAsia="zh-CN"/>
        </w:rPr>
      </w:pPr>
      <w:r>
        <w:rPr>
          <w:rFonts w:hint="eastAsia" w:ascii="Times New Roman" w:hAnsi="Times New Roman" w:cs="Times New Roman"/>
          <w:spacing w:val="-2"/>
          <w:w w:val="110"/>
          <w:sz w:val="24"/>
          <w:szCs w:val="24"/>
          <w:lang w:eastAsia="zh-CN"/>
        </w:rPr>
        <w:t>随着不锈钢工业的发展，对铬资源的需求量也大量增长。由于国内铬矿资源的贫乏，中国已成为全球最大的铬矿进口国。在2017年，全球铬矿产量为3100万吨，其中中国进口了1384万吨，占全球产量的43.48%。因此，对铬资源的依赖逐渐加大，回收利用废不锈钢至关重要。在不锈钢制品生产过程中，约30%的废料会产生，而不锈钢的平均使用寿命约为25年。随着不锈钢工业的快速发展，废不锈钢的数量不断增加，因此回收利用这些废不锈钢资源变得越来越重要。可以预见，未来废不锈钢资源的回收利用将成为不锈钢生产和冶炼的重要补充，也是资源综合利用和铬镍等贵重金属资源的重要保障。</w:t>
      </w:r>
    </w:p>
    <w:p>
      <w:pPr>
        <w:keepNext w:val="0"/>
        <w:keepLines w:val="0"/>
        <w:pageBreakBefore w:val="0"/>
        <w:widowControl w:val="0"/>
        <w:kinsoku/>
        <w:wordWrap/>
        <w:overflowPunct/>
        <w:topLinePunct w:val="0"/>
        <w:autoSpaceDE/>
        <w:autoSpaceDN/>
        <w:bidi w:val="0"/>
        <w:adjustRightInd/>
        <w:snapToGrid/>
        <w:spacing w:line="360" w:lineRule="auto"/>
        <w:ind w:firstLine="276" w:firstLineChars="100"/>
        <w:jc w:val="left"/>
        <w:textAlignment w:val="auto"/>
        <w:rPr>
          <w:rFonts w:hint="eastAsia" w:ascii="宋体" w:hAnsi="宋体" w:eastAsia="宋体" w:cs="宋体"/>
          <w:w w:val="115"/>
          <w:sz w:val="24"/>
          <w:szCs w:val="24"/>
          <w:vertAlign w:val="baseline"/>
          <w:lang w:val="en-US" w:eastAsia="zh-CN"/>
        </w:rPr>
      </w:pPr>
      <w:r>
        <w:rPr>
          <w:rFonts w:hint="eastAsia" w:ascii="宋体" w:hAnsi="宋体" w:eastAsia="宋体" w:cs="宋体"/>
          <w:w w:val="115"/>
          <w:sz w:val="24"/>
          <w:szCs w:val="24"/>
          <w:vertAlign w:val="baseline"/>
          <w:lang w:val="en-US" w:eastAsia="zh-CN"/>
        </w:rPr>
        <w:t>此外，这些含铬废料在堆存过程中会产生有毒物质，对环境、动植物和人类健康产生严重影响。六价铬是一种强致癌物，被列入国家危险废物名录中的有害物质。由于这些废料中铬含量高，且SS渣的物理质量较差，因此几乎没有任何利用价值。重视这些废料的回收利用不仅可以减少资源浪费，还可以保护环境。因此，回收利用不锈钢废料中的铬对于资源综合利用和环境保护具有深远的意义。</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w w:val="115"/>
          <w:sz w:val="24"/>
          <w:szCs w:val="24"/>
          <w:vertAlign w:val="baseline"/>
          <w:lang w:val="en-US" w:eastAsia="zh-CN"/>
        </w:rPr>
      </w:pPr>
      <w:r>
        <w:rPr>
          <w:rFonts w:hint="eastAsia" w:ascii="黑体" w:hAnsi="黑体" w:eastAsia="黑体" w:cs="黑体"/>
          <w:w w:val="115"/>
          <w:sz w:val="24"/>
          <w:szCs w:val="24"/>
          <w:vertAlign w:val="baseline"/>
          <w:lang w:val="en-US" w:eastAsia="zh-CN"/>
        </w:rPr>
        <w:t>1.3.2铬渣现状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val="0"/>
          <w:i w:val="0"/>
          <w:iCs w:val="0"/>
          <w:caps w:val="0"/>
          <w:color w:val="auto"/>
          <w:spacing w:val="0"/>
          <w:sz w:val="24"/>
          <w:szCs w:val="24"/>
          <w:u w:val="none"/>
          <w:shd w:val="clear" w:color="auto" w:fill="FFFFFF"/>
        </w:rPr>
      </w:pPr>
      <w:r>
        <w:rPr>
          <w:rFonts w:hint="eastAsia" w:ascii="宋体" w:hAnsi="宋体" w:eastAsia="宋体" w:cs="宋体"/>
          <w:b w:val="0"/>
          <w:bCs w:val="0"/>
          <w:i w:val="0"/>
          <w:iCs w:val="0"/>
          <w:caps w:val="0"/>
          <w:color w:val="auto"/>
          <w:spacing w:val="0"/>
          <w:sz w:val="24"/>
          <w:szCs w:val="24"/>
          <w:u w:val="none"/>
          <w:shd w:val="clear" w:color="auto" w:fill="FFFFFF"/>
        </w:rPr>
        <w:t>铬渣是一种危险的固体废弃物，由生产铬化合物的铬铁矿原料所产生。这种渣土具有毒性、氧化性和致癌性，因此需要无害化解毒和综合利用。虽然我国在这方面已经积累了多年的实践经验和总结，但仍存在很多尚待解决的问题。因此，研发低成本、绿色、高效的铬渣污染控制与综合利用新技术已成为全球铬化工行业的迫切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ascii="宋体" w:hAnsi="宋体" w:eastAsia="宋体" w:cs="宋体"/>
          <w:sz w:val="24"/>
          <w:szCs w:val="24"/>
        </w:rPr>
      </w:pPr>
      <w:r>
        <w:rPr>
          <w:rFonts w:hint="eastAsia" w:ascii="宋体" w:hAnsi="宋体" w:eastAsia="宋体" w:cs="宋体"/>
          <w:sz w:val="24"/>
          <w:szCs w:val="24"/>
        </w:rPr>
        <w:t>铬渣是一种重金属危险废物，含有易溶且不稳定的六价铬（Cr6+），具有强氧化毒性，可能对人体、农作物和生物体造成损伤。研究发现，铬渣中的铬酸钙（属于六价铬）还具有较强的致癌和致突变特性。铬渣主要产生于铬盐行业和部分金属铬企业的重铬酸钠生产过程中，特别是采用有钙焙烧生产工艺的铬盐生产企业。铬化合物是无机化工主要系列产品之一，广泛应用于化工、轻工、冶金、纺织、机械等行业。据统计，我国约15％的产品与铬化合物有关。自1958年建立第一条铬盐生产线以来，我国已有70余家企业生产过铬盐，其中1992年是高峰，有52家企业同时进行生产。这些企业大多规模较小，工艺技术较落后，由于缺乏市场竞争力和污染控制手段，先后关闭、破产、转产，而其产生的铬渣基本未得到治理。由于铬渣污染问题的困扰，一些发达国家开始压缩铬盐生产能力，转而从发展中国家进口铬盐产品。这些铬渣的处理方式往往不符合危险废物处理的规定，很多直接被排放到环境中，有些甚至被堆放在重要的水源和人口密集的地区，还有一些铬渣被堆放或填埋在破产或关闭的企业中而没有得到妥善处理。由于这些铬渣未经过无害化处理，对地表水、地下水和土壤造成了严重的污染，对生态环境和人民的生命财产安全造成了巨大的威胁。铬渣大量堆积并未得到无害化处理的主要原因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r>
        <w:rPr>
          <w:rFonts w:hint="eastAsia" w:ascii="宋体" w:hAnsi="宋体" w:cs="宋体"/>
          <w:sz w:val="24"/>
          <w:szCs w:val="24"/>
          <w:lang w:val="en-US" w:eastAsia="zh-CN"/>
        </w:rPr>
        <w:t>一、</w:t>
      </w:r>
      <w:r>
        <w:rPr>
          <w:rFonts w:ascii="宋体" w:hAnsi="宋体" w:eastAsia="宋体" w:cs="宋体"/>
          <w:sz w:val="24"/>
          <w:szCs w:val="24"/>
        </w:rPr>
        <w:t xml:space="preserve">生产工艺落后，铬渣产生量大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sz w:val="24"/>
          <w:szCs w:val="24"/>
        </w:rPr>
      </w:pPr>
      <w:r>
        <w:rPr>
          <w:rFonts w:hint="eastAsia" w:ascii="宋体" w:hAnsi="宋体" w:eastAsia="宋体" w:cs="宋体"/>
          <w:sz w:val="24"/>
          <w:szCs w:val="24"/>
        </w:rPr>
        <w:t>传统的铬盐生产工艺采用回转窑填充石灰质进行焙烧，根据填充的石灰量的不同分为三种：有钙焙烧、少钙焙烧和无钙焙烧。其中，后两种工艺使用返渣代替部分或全部的有钙填料。铬渣的产生量与铬盐生产工艺密切相关。普通的有钙焙烧工艺每生产一吨产品就会产生2.5-3吨的铬渣，铬的转化率低，铬渣中Cr6+含量高，约为1.5-2.5%。由于Cr6+含量较高，因此难以处理。少钙焙烧工艺每生产一吨产品就会产生1.2-1.5吨的铬渣；而无钙焙烧工艺每生产一吨产品只会产生不到0.8吨的铬渣，铬渣中Cr6+含量低，只有0.1-0.2%，比较容易处理。此外，中国还开发了液相氧化法铬盐生产技术，并正在进行工业化生产完善工作。这种技术预计每生产一吨产品只会产生不超过0.5吨的铬渣，铬渣中Cr6+含量低于0.1%。目前，中国的铬盐生产企业大多采用有钙焙烧工艺，只有甘肃民乐县化工厂采用无钙焙烧工艺，其产能仅占全国总产能的3%。相比之下，工业发达国家基本上都采用无钙焙烧工艺。总的来看，中国的铬盐生产技术仅相当于上个世纪70-80年代的发达国家水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ascii="宋体" w:hAnsi="宋体" w:eastAsia="宋体" w:cs="宋体"/>
          <w:sz w:val="24"/>
          <w:szCs w:val="24"/>
        </w:rPr>
      </w:pPr>
      <w:r>
        <w:rPr>
          <w:rFonts w:hint="eastAsia" w:ascii="宋体" w:hAnsi="宋体" w:cs="宋体"/>
          <w:sz w:val="24"/>
          <w:szCs w:val="24"/>
          <w:lang w:val="en-US" w:eastAsia="zh-CN"/>
        </w:rPr>
        <w:t>二、</w:t>
      </w:r>
      <w:r>
        <w:rPr>
          <w:rFonts w:ascii="宋体" w:hAnsi="宋体" w:eastAsia="宋体" w:cs="宋体"/>
          <w:sz w:val="24"/>
          <w:szCs w:val="24"/>
        </w:rPr>
        <w:t xml:space="preserve">铬渣处置难度大，成本高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rPr>
      </w:pPr>
      <w:r>
        <w:rPr>
          <w:rFonts w:hint="eastAsia" w:ascii="宋体" w:hAnsi="宋体" w:eastAsia="宋体" w:cs="宋体"/>
          <w:sz w:val="24"/>
          <w:szCs w:val="24"/>
        </w:rPr>
        <w:t>自上个世纪七十年代以来，我国对铬渣的处理问题进行了大量的研究，发展</w:t>
      </w:r>
      <w:r>
        <w:rPr>
          <w:rFonts w:hint="eastAsia" w:ascii="宋体" w:hAnsi="宋体" w:cs="宋体"/>
          <w:sz w:val="24"/>
          <w:szCs w:val="24"/>
          <w:lang w:val="en-US" w:eastAsia="zh-CN"/>
        </w:rPr>
        <w:t>出</w:t>
      </w:r>
      <w:r>
        <w:rPr>
          <w:rFonts w:hint="eastAsia" w:ascii="宋体" w:hAnsi="宋体" w:eastAsia="宋体" w:cs="宋体"/>
          <w:sz w:val="24"/>
          <w:szCs w:val="24"/>
        </w:rPr>
        <w:t>了多种处理技术，包括干法还原、湿法还原、综合利用制砖、制钙镁磷肥、铸石、水泥添加剂、玻璃着色剂、以及用铬渣作为烧结矿炼铁等等，取得了一定的成果。但是，这些处理技术都存在一些局限性，有些解毒不彻底，存在二次污染；有些铬渣用量较少，处置周期长，进展缓慢；还有些综合利用产品，比如用铬渣作为水泥矿化剂，其对环境的影响尚不清楚。此外，高昂的处理和处置成本也是限制铬渣治理的一个重要因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ascii="宋体" w:hAnsi="宋体" w:eastAsia="宋体" w:cs="宋体"/>
          <w:sz w:val="24"/>
          <w:szCs w:val="24"/>
        </w:rPr>
      </w:pPr>
      <w:r>
        <w:rPr>
          <w:rFonts w:hint="eastAsia" w:ascii="宋体" w:hAnsi="宋体" w:cs="宋体"/>
          <w:sz w:val="24"/>
          <w:szCs w:val="24"/>
          <w:lang w:val="en-US" w:eastAsia="zh-CN"/>
        </w:rPr>
        <w:t>三、</w:t>
      </w:r>
      <w:r>
        <w:rPr>
          <w:rFonts w:ascii="宋体" w:hAnsi="宋体" w:eastAsia="宋体" w:cs="宋体"/>
          <w:sz w:val="24"/>
          <w:szCs w:val="24"/>
        </w:rPr>
        <w:t xml:space="preserve">缺乏有效的监管措施，机制不健全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1992年，原化工部和原国家环保局曾共同发布《关于防治铬化合物生产建设中环境污染的若干规定》，以遏制当时铬盐生产企业的过度发展。但随着铬盐市场需求的不断增长，一些地方为了追求经济利益，放松了对铬渣环境污染的管控。加之相关法律法规不健全，国家产业政策不明朗，环境执法能力薄弱，铬盐行业的无序发展现象有所反弹。就铬渣处理而言，由于缺乏有效的市场化运作机制和激励机制，大大阻碍了铬渣治理进程。处理铬渣的方法大多依赖于其他相关行业的特殊生产工艺，例如水泥立窑、钢铁烧结矿等。当这些处理铬渣的企业没有得到相应的补偿，不愿承担污染风险和设备改造成本时，铬渣处置就十分被动。目前，国家既没有制定相应的技术标准和规范，也没有建立起铬渣产生企业和处置企业之间的利益联系，导致铬渣治理进展缓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auto"/>
          <w:spacing w:val="0"/>
          <w:sz w:val="24"/>
          <w:szCs w:val="24"/>
          <w:shd w:val="clear" w:color="auto" w:fill="FFFFFF"/>
        </w:rPr>
      </w:pPr>
      <w:r>
        <w:rPr>
          <w:rFonts w:hint="eastAsia" w:ascii="宋体" w:hAnsi="宋体" w:eastAsia="宋体" w:cs="宋体"/>
          <w:i w:val="0"/>
          <w:iCs w:val="0"/>
          <w:caps w:val="0"/>
          <w:color w:val="auto"/>
          <w:spacing w:val="0"/>
          <w:sz w:val="24"/>
          <w:szCs w:val="24"/>
          <w:shd w:val="clear" w:color="auto" w:fill="FFFFFF"/>
        </w:rPr>
        <w:t>我国废弃的铬渣和陈渣数量惊人，新产生的渣滓数量也在不断增加。据初步调查，我国铁合金厂年产铬铁渣超过20万吨，仅吉林和辽宁两省的年产量就可达到14～15万吨。近年来，我国采取了严格的监测措施来控制铬渣的污染。2015年，国家颁布了有关铬渣污染治理的政策和法规。国家“十三五”规划纲要也明确要求全面治理铬渣，彻底消除其对环境造成的污染。为了减少铬对环境的危害，我国制定了多项六价铬和总铬的控制标准。铬渣是生产铬铁合金、金属铬和铬盐过程中产生的工业废弃物，对人体健康构成严重威胁。铬渣的化学成分不太稳定，不同产地的铬渣的化学成分也存在很大差异，这为铬渣的处理带来了一定难度。</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rPr>
          <w:rFonts w:hint="eastAsia" w:ascii="黑体" w:hAnsi="黑体" w:eastAsia="黑体" w:cs="黑体"/>
          <w:i w:val="0"/>
          <w:iCs w:val="0"/>
          <w:caps w:val="0"/>
          <w:color w:val="323232"/>
          <w:spacing w:val="0"/>
          <w:sz w:val="24"/>
          <w:szCs w:val="24"/>
          <w:shd w:val="clear" w:color="auto" w:fill="FFFFFF"/>
        </w:rPr>
      </w:pPr>
      <w:r>
        <w:rPr>
          <w:rFonts w:hint="eastAsia" w:ascii="黑体" w:hAnsi="黑体" w:eastAsia="黑体" w:cs="黑体"/>
          <w:i w:val="0"/>
          <w:iCs w:val="0"/>
          <w:caps w:val="0"/>
          <w:color w:val="323232"/>
          <w:spacing w:val="0"/>
          <w:sz w:val="24"/>
          <w:szCs w:val="24"/>
          <w:shd w:val="clear" w:color="auto" w:fill="FFFFFF"/>
          <w:lang w:val="en-US" w:eastAsia="zh-CN"/>
        </w:rPr>
        <w:t>1.3.3不锈钢渣和</w:t>
      </w:r>
      <w:r>
        <w:rPr>
          <w:rFonts w:hint="eastAsia" w:ascii="黑体" w:hAnsi="黑体" w:eastAsia="黑体" w:cs="黑体"/>
          <w:i w:val="0"/>
          <w:iCs w:val="0"/>
          <w:caps w:val="0"/>
          <w:color w:val="323232"/>
          <w:spacing w:val="0"/>
          <w:sz w:val="24"/>
          <w:szCs w:val="24"/>
          <w:shd w:val="clear" w:color="auto" w:fill="FFFFFF"/>
        </w:rPr>
        <w:t>废弃铬渣的再利用</w:t>
      </w:r>
      <w:r>
        <w:rPr>
          <w:rFonts w:hint="eastAsia" w:ascii="黑体" w:hAnsi="黑体" w:eastAsia="黑体" w:cs="黑体"/>
          <w:i w:val="0"/>
          <w:iCs w:val="0"/>
          <w:caps w:val="0"/>
          <w:color w:val="323232"/>
          <w:spacing w:val="0"/>
          <w:sz w:val="24"/>
          <w:szCs w:val="24"/>
          <w:shd w:val="clear" w:color="auto" w:fill="FFFFFF"/>
          <w:lang w:eastAsia="zh-CN"/>
        </w:rPr>
        <w:t>的</w:t>
      </w:r>
      <w:r>
        <w:rPr>
          <w:rFonts w:hint="eastAsia" w:ascii="黑体" w:hAnsi="黑体" w:eastAsia="黑体" w:cs="黑体"/>
          <w:i w:val="0"/>
          <w:iCs w:val="0"/>
          <w:caps w:val="0"/>
          <w:color w:val="323232"/>
          <w:spacing w:val="0"/>
          <w:sz w:val="24"/>
          <w:szCs w:val="24"/>
          <w:shd w:val="clear" w:color="auto" w:fill="FFFFFF"/>
        </w:rPr>
        <w:t>重大意义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sz w:val="24"/>
          <w:szCs w:val="24"/>
        </w:rPr>
      </w:pPr>
      <w:r>
        <w:rPr>
          <w:rFonts w:hint="eastAsia" w:ascii="宋体" w:hAnsi="宋体" w:eastAsia="宋体" w:cs="宋体"/>
          <w:sz w:val="24"/>
          <w:szCs w:val="24"/>
        </w:rPr>
        <w:t>再利用废弃铬渣具有重要的环保和节能意义。首先，不锈钢渣和废弃铬渣中的铬对环境造成很大的污染，其中的六价铬可以从多个途径进入人体，引发癌症等多种疾病。通过科学有效的回收再利用，不仅可以减轻六价铬对环境的污染危害，还可以降低六价铬引发多种疾病的发病率。同时，若不将不锈钢渣和铬渣作为废弃物堆积或掩埋，将避免资源的浪费。经过多年的实践和研究，我国在不锈钢渣和铬渣处理方面取得了明显的成效，已有一部分不锈钢渣和铬渣实现了良好的无害化和资源化再利用。但由于技术和经济上的多种限制，产业化推广应用还不够深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rPr>
          <w:rFonts w:hint="eastAsia" w:ascii="Times New Roman" w:hAnsi="Times New Roman" w:eastAsia="黑体" w:cs="Times New Roman"/>
          <w:i w:val="0"/>
          <w:iCs w:val="0"/>
          <w:caps w:val="0"/>
          <w:color w:val="323232"/>
          <w:spacing w:val="0"/>
          <w:sz w:val="28"/>
          <w:szCs w:val="28"/>
          <w:shd w:val="clear" w:color="auto" w:fill="FFFFFF"/>
          <w:lang w:val="en-US" w:eastAsia="zh-CN"/>
        </w:rPr>
      </w:pPr>
      <w:r>
        <w:rPr>
          <w:rFonts w:hint="eastAsia" w:ascii="Times New Roman" w:hAnsi="Times New Roman" w:eastAsia="黑体" w:cs="Times New Roman"/>
          <w:i w:val="0"/>
          <w:iCs w:val="0"/>
          <w:caps w:val="0"/>
          <w:color w:val="323232"/>
          <w:spacing w:val="0"/>
          <w:sz w:val="28"/>
          <w:szCs w:val="28"/>
          <w:shd w:val="clear" w:color="auto" w:fill="FFFFFF"/>
          <w:lang w:val="en-US" w:eastAsia="zh-CN"/>
        </w:rPr>
        <w:t>1.4钢铁企业不锈钢渣利用现状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目前，钢铁企业通常采用两种不锈钢渣利用方法：厂内循环和厂外综合应用。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1.</w:t>
      </w:r>
      <w:r>
        <w:rPr>
          <w:rFonts w:hint="eastAsia" w:ascii="宋体" w:hAnsi="宋体" w:cs="宋体"/>
          <w:i w:val="0"/>
          <w:iCs w:val="0"/>
          <w:caps w:val="0"/>
          <w:color w:val="323232"/>
          <w:spacing w:val="0"/>
          <w:sz w:val="24"/>
          <w:szCs w:val="24"/>
          <w:shd w:val="clear" w:color="auto" w:fill="FFFFFF"/>
          <w:lang w:val="en-US" w:eastAsia="zh-CN"/>
        </w:rPr>
        <w:t>4.1</w:t>
      </w:r>
      <w:r>
        <w:rPr>
          <w:rFonts w:hint="eastAsia" w:ascii="宋体" w:hAnsi="宋体" w:eastAsia="宋体" w:cs="宋体"/>
          <w:i w:val="0"/>
          <w:iCs w:val="0"/>
          <w:caps w:val="0"/>
          <w:color w:val="323232"/>
          <w:spacing w:val="0"/>
          <w:sz w:val="24"/>
          <w:szCs w:val="24"/>
          <w:shd w:val="clear" w:color="auto" w:fill="FFFFFF"/>
          <w:lang w:val="en-US" w:eastAsia="zh-CN"/>
        </w:rPr>
        <w:t>厂内循环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在厂内循环中，主要是针对不锈钢渣中有价值的氧化物进行资源综合利用，主要应用于钢铁生产流程的烧结、高炉和精炼等环节。例如，在烧结工序中，可以利用不锈钢渣中的Fe、FeO、CaO、Mo、MnO等有价成分替代部分熔剂，不仅可以降低烧结燃料的消耗，还能提高烧结矿的质量。不锈钢渣在高温下软化温度低，物相均匀，具有一定的黏性，因此可以替代部分白云石和生石灰。然而，这种方法只能消耗约4%的不锈钢渣，难以实现不锈钢渣的大规模利用。此外，钢渣中的有害元素会被带入烧结矿中，对后续工艺中的铁水质量造成危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在高炉炼铁方面，借鉴普通钢渣的处理工艺，可以将不锈钢渣经过破碎、筛分处理后作为造渣剂使用。渣中的CaO.MgO充当助熔剂，Mg0、MnO等则能改善高炉渣的流动性，金属元素则能够返回生产流程。但是，高炉本身的脱磷能力较差，导致有害元素的富集问题仍然存在，同时会增加渣量。在钢水精炼方面，李俊国、曾亚南等人将堆积的EAF和AOD渣与LF精炼渣混合，在LF炉中反应，最终制备出精炼渣。这种方法充分利用了LF精炼的高温和还原性气氛，可以将不锈钢渣中的六价铬还原为三价铬，同时LF渣中的高Al2O3含量有助于促进尖晶石的形成，固化和封存不锈钢渣中的铬元素，实现了不锈钢渣的无害化处理和资源化利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通过厂内循环，可以有效提高钢铁生产流程中原料的利用效率，提高各元素的收得率。然而，以上方法在杂质累积、操作成本、工艺顺畅等方面仍然存在一些问题，整体实践效果并不理想。</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cs="宋体"/>
          <w:i w:val="0"/>
          <w:iCs w:val="0"/>
          <w:caps w:val="0"/>
          <w:color w:val="323232"/>
          <w:spacing w:val="0"/>
          <w:sz w:val="24"/>
          <w:szCs w:val="24"/>
          <w:shd w:val="clear" w:color="auto" w:fill="FFFFFF"/>
          <w:lang w:val="en-US" w:eastAsia="zh-CN"/>
        </w:rPr>
        <w:t>1.4.</w:t>
      </w:r>
      <w:r>
        <w:rPr>
          <w:rFonts w:hint="eastAsia" w:ascii="宋体" w:hAnsi="宋体" w:eastAsia="宋体" w:cs="宋体"/>
          <w:i w:val="0"/>
          <w:iCs w:val="0"/>
          <w:caps w:val="0"/>
          <w:color w:val="323232"/>
          <w:spacing w:val="0"/>
          <w:sz w:val="24"/>
          <w:szCs w:val="24"/>
          <w:shd w:val="clear" w:color="auto" w:fill="FFFFFF"/>
          <w:lang w:val="en-US" w:eastAsia="zh-CN"/>
        </w:rPr>
        <w:t>2厂外综合利用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针对不锈钢渣的化学和物理特性，冶金工作者已经开发出多种综合利用方法，不仅限于钢铁生产流程。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例如，太钢开发了一种络合沉淀分步提取渣中有价元素的方法，可以交替提供酸碱环境来选择性提取金属元素，但处理成本高、操作繁琐，难以在全行业推广。</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Zhang等人通过熔融处理不锈钢除尘灰回收有价金属，将铁、铬、镍还原为金属单质，通过磁选回收利用。在建材制备方面，不锈钢渣可用于制备波特兰水泥，并增强混凝土的机械性能。同时，不锈钢渣也可以用于制备陶瓷材料，通过添加SiO2、Al2O3、MgO等物质可以达到陶瓷坯料的成分范围。在钢铁企业绿色转型发展的背景下，“以废治废”思路得到越来越多的关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rPr>
          <w:rFonts w:hint="default" w:ascii="Times New Roman" w:hAnsi="Times New Roman" w:eastAsia="黑体" w:cs="Times New Roman"/>
          <w:i w:val="0"/>
          <w:iCs w:val="0"/>
          <w:caps w:val="0"/>
          <w:color w:val="323232"/>
          <w:spacing w:val="0"/>
          <w:sz w:val="28"/>
          <w:szCs w:val="28"/>
          <w:shd w:val="clear" w:color="auto" w:fill="FFFFFF"/>
          <w:lang w:val="en-US" w:eastAsia="zh-CN"/>
        </w:rPr>
      </w:pPr>
      <w:r>
        <w:rPr>
          <w:rFonts w:hint="default" w:ascii="Times New Roman" w:hAnsi="Times New Roman" w:eastAsia="黑体" w:cs="Times New Roman"/>
          <w:i w:val="0"/>
          <w:iCs w:val="0"/>
          <w:caps w:val="0"/>
          <w:color w:val="323232"/>
          <w:spacing w:val="0"/>
          <w:sz w:val="28"/>
          <w:szCs w:val="28"/>
          <w:shd w:val="clear" w:color="auto" w:fill="FFFFFF"/>
          <w:lang w:val="en-US" w:eastAsia="zh-CN"/>
        </w:rPr>
        <w:t>1.</w:t>
      </w:r>
      <w:r>
        <w:rPr>
          <w:rFonts w:hint="eastAsia" w:ascii="Times New Roman" w:hAnsi="Times New Roman" w:eastAsia="黑体" w:cs="Times New Roman"/>
          <w:i w:val="0"/>
          <w:iCs w:val="0"/>
          <w:caps w:val="0"/>
          <w:color w:val="323232"/>
          <w:spacing w:val="0"/>
          <w:sz w:val="28"/>
          <w:szCs w:val="28"/>
          <w:shd w:val="clear" w:color="auto" w:fill="FFFFFF"/>
          <w:lang w:val="en-US" w:eastAsia="zh-CN"/>
        </w:rPr>
        <w:t>5</w:t>
      </w:r>
      <w:r>
        <w:rPr>
          <w:rFonts w:hint="default" w:ascii="Times New Roman" w:hAnsi="Times New Roman" w:eastAsia="黑体" w:cs="Times New Roman"/>
          <w:i w:val="0"/>
          <w:iCs w:val="0"/>
          <w:caps w:val="0"/>
          <w:color w:val="323232"/>
          <w:spacing w:val="0"/>
          <w:sz w:val="28"/>
          <w:szCs w:val="28"/>
          <w:shd w:val="clear" w:color="auto" w:fill="FFFFFF"/>
          <w:lang w:val="en-US" w:eastAsia="zh-CN"/>
        </w:rPr>
        <w:t>不锈钢废料中铬的处理方法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炉EAF炉和氩氧炉AOD炉是产生不锈钢废料的主要工艺，不锈钢废料主要由不锈钢渣、不锈钢粉尘、不锈钢酸洗污泥和不锈钢轧钢铁鳞等多种形式组成。不锈钢渣主要包括脉石和金属氧化物，而粉尘则是不锈钢冶炼中的重要副产物。在熔炼炉中，约有1%~2%（质量分数）的废料进入废气，并在最终转化为粉尘，其中包含了大量氧化铁、以及回收价值较高的Cr和Ni等元素。此外，为了获得更美观的表面性能，需要对热轧板卷进行酸洗，这种处理会产生约占不锈钢产量3%~5％的酸洗污泥，其中也含有大量有价金属，如Ni、Cr、Fe等。需要注意的是，不锈钢渣与普通钢渣相比，虽然铁含量较少，但铬含量相对较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不锈钢废料易于被氧化成剧毒的Cr6+，因此在考虑含铬废渣的回收利用问题时，首要问题是考虑不锈钢渣的解毒效果。目前，国内外的处理工艺主要包括湿法还原法、干法还原法、固化法和微生物法等多种方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i w:val="0"/>
          <w:iCs w:val="0"/>
          <w:caps w:val="0"/>
          <w:color w:val="323232"/>
          <w:spacing w:val="0"/>
          <w:sz w:val="24"/>
          <w:szCs w:val="24"/>
          <w:shd w:val="clear" w:color="auto" w:fill="FFFFFF"/>
          <w:lang w:val="en-US" w:eastAsia="zh-CN"/>
        </w:rPr>
      </w:pPr>
      <w:r>
        <w:rPr>
          <w:rFonts w:hint="eastAsia" w:ascii="黑体" w:hAnsi="黑体" w:eastAsia="黑体" w:cs="黑体"/>
          <w:i w:val="0"/>
          <w:iCs w:val="0"/>
          <w:caps w:val="0"/>
          <w:color w:val="323232"/>
          <w:spacing w:val="0"/>
          <w:sz w:val="24"/>
          <w:szCs w:val="24"/>
          <w:shd w:val="clear" w:color="auto" w:fill="FFFFFF"/>
          <w:lang w:val="en-US" w:eastAsia="zh-CN"/>
        </w:rPr>
        <w:t>1.5.1湿法还原法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不锈钢渣中的铬存在三种形态，分别是水溶态、酸溶态和结晶态。其中，酸溶态和水溶态的铬比较容易溶出，这也是不锈钢渣污染的主要原因。因此，湿法处理的主要原理是使用酸性或碱性溶液将水溶性和酸溶性的铬浸出，然后使用还原剂（如FeSO4、Na2S等）将Cr6+还原成Cr3+或Cr(OH)3。这种方法的缺点是需要不锈钢渣中的有价金属含量相对较高，否则会增加酸或碱溶液的使用量。此外，湿法处理会产生大量的废水，可能会导致二次污染。</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i w:val="0"/>
          <w:iCs w:val="0"/>
          <w:caps w:val="0"/>
          <w:color w:val="323232"/>
          <w:spacing w:val="0"/>
          <w:sz w:val="24"/>
          <w:szCs w:val="24"/>
          <w:shd w:val="clear" w:color="auto" w:fill="FFFFFF"/>
          <w:lang w:val="en-US" w:eastAsia="zh-CN"/>
        </w:rPr>
      </w:pPr>
      <w:r>
        <w:rPr>
          <w:rFonts w:hint="eastAsia" w:ascii="黑体" w:hAnsi="黑体" w:eastAsia="黑体" w:cs="黑体"/>
          <w:i w:val="0"/>
          <w:iCs w:val="0"/>
          <w:caps w:val="0"/>
          <w:color w:val="323232"/>
          <w:spacing w:val="0"/>
          <w:sz w:val="24"/>
          <w:szCs w:val="24"/>
          <w:shd w:val="clear" w:color="auto" w:fill="FFFFFF"/>
          <w:lang w:val="en-US" w:eastAsia="zh-CN"/>
        </w:rPr>
        <w:t>1.5.2干法还原法</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不锈钢废料干法还原的方法是将废料与煤粒混合后，利用C或CO在高温下的强还原性将Cr6＋还原成不溶性的Cr3+。这种处理方法的不足之处在于，还原所需的高温增加了成本和烟气排放，同时整个过程中没有高附加值的产品，只是一个单纯的消费过程。比如，将铁精矿和铬渣混合生产烧结矿，这种方法每生产10吨烧结矿就需要使用80％的铁精矿，而且处理废渣量少，成本高，不能从根本上解决铬渣的处理问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i w:val="0"/>
          <w:iCs w:val="0"/>
          <w:caps w:val="0"/>
          <w:color w:val="323232"/>
          <w:spacing w:val="0"/>
          <w:sz w:val="24"/>
          <w:szCs w:val="24"/>
          <w:shd w:val="clear" w:color="auto" w:fill="FFFFFF"/>
          <w:lang w:val="en-US" w:eastAsia="zh-CN"/>
        </w:rPr>
      </w:pPr>
      <w:r>
        <w:rPr>
          <w:rFonts w:hint="eastAsia" w:ascii="黑体" w:hAnsi="黑体" w:eastAsia="黑体" w:cs="黑体"/>
          <w:i w:val="0"/>
          <w:iCs w:val="0"/>
          <w:caps w:val="0"/>
          <w:color w:val="323232"/>
          <w:spacing w:val="0"/>
          <w:sz w:val="24"/>
          <w:szCs w:val="24"/>
          <w:shd w:val="clear" w:color="auto" w:fill="FFFFFF"/>
          <w:lang w:val="en-US" w:eastAsia="zh-CN"/>
        </w:rPr>
        <w:t>1.5.3固化法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firstLine="480" w:firstLineChars="200"/>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铬渣的固化法是一种解决铬污染的方法，其原理是将铬渣进行粉碎后，加入一定量的FeSO4或无机酸使Cr6＋还原为Cr3+，然后再添加水泥，使铬渣被封闭在水泥中，从而达到解毒的目的。这种方法处理量较大，也能带来一定的经济效益。它是固化危险固废的一种方法，在发展中国家得到广泛应用。然而，也有研究表明这种方法可能会导致重金属离子重新进入环境，因此固化法的有效性还需要进一步研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0" w:beforeAutospacing="0" w:after="0" w:afterAutospacing="0" w:line="320" w:lineRule="atLeast"/>
        <w:ind w:right="0"/>
        <w:rPr>
          <w:rFonts w:hint="eastAsia" w:ascii="黑体" w:hAnsi="黑体" w:eastAsia="黑体" w:cs="黑体"/>
          <w:i w:val="0"/>
          <w:iCs w:val="0"/>
          <w:caps w:val="0"/>
          <w:color w:val="323232"/>
          <w:spacing w:val="0"/>
          <w:sz w:val="28"/>
          <w:szCs w:val="28"/>
          <w:shd w:val="clear" w:color="auto" w:fill="FFFFFF"/>
          <w:lang w:val="en-US" w:eastAsia="zh-CN"/>
        </w:rPr>
      </w:pPr>
      <w:r>
        <w:rPr>
          <w:rFonts w:hint="eastAsia" w:ascii="黑体" w:hAnsi="黑体" w:eastAsia="黑体" w:cs="黑体"/>
          <w:i w:val="0"/>
          <w:iCs w:val="0"/>
          <w:caps w:val="0"/>
          <w:color w:val="323232"/>
          <w:spacing w:val="0"/>
          <w:sz w:val="28"/>
          <w:szCs w:val="28"/>
          <w:shd w:val="clear" w:color="auto" w:fill="FFFFFF"/>
          <w:lang w:val="en-US" w:eastAsia="zh-CN"/>
        </w:rPr>
        <w:t>1.6不锈钢渣中铬的综合回收利用技术</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i w:val="0"/>
          <w:iCs w:val="0"/>
          <w:caps w:val="0"/>
          <w:color w:val="323232"/>
          <w:spacing w:val="0"/>
          <w:sz w:val="24"/>
          <w:szCs w:val="24"/>
          <w:shd w:val="clear" w:color="auto" w:fill="FFFFFF"/>
          <w:lang w:val="en-US" w:eastAsia="zh-CN"/>
        </w:rPr>
      </w:pPr>
      <w:r>
        <w:rPr>
          <w:rFonts w:hint="eastAsia" w:ascii="黑体" w:hAnsi="黑体" w:eastAsia="黑体" w:cs="黑体"/>
          <w:i w:val="0"/>
          <w:iCs w:val="0"/>
          <w:caps w:val="0"/>
          <w:color w:val="323232"/>
          <w:spacing w:val="0"/>
          <w:sz w:val="24"/>
          <w:szCs w:val="24"/>
          <w:shd w:val="clear" w:color="auto" w:fill="FFFFFF"/>
          <w:lang w:val="en-US" w:eastAsia="zh-CN"/>
        </w:rPr>
        <w:t>1.6.1微晶玻璃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微晶玻璃是一种处理含铬废渣的方法，具有解毒彻底、处理量大、原料易得、成本低、附加价值高等优点，因此具有广阔的应用前景。但不锈钢废渣中的不同因素，如碱度（w（CaO）/w（SiO2））、MgO含量和Al2O3含量等，可能会影响铬元素的浸出。Hugo Cabrera-Real等在其文章中指出，当渣的碱度过高时，会生成Cr（V）和Cr（VI）化合物，这两种化合物在酸性环境中可能会导致铬的浸出率上升。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此外，研究还指出，MgO有助于控制铬的浸出率，因为铬在MgCr2O4中的结合更为稳定。 为了探究微晶玻璃固定铬的可行性，ZHANG S等人研究了Cr2O3对透辉石的微观结构、结晶行为以及Cr2O3在透辉石中的溶解度的影响。他们发现，将少量Cr2O3加入透辉石体系中后，只有少量的Cr2O3溶解到透辉石相中，其最大溶解度在1%~3%（质量分数）之间，剩余的Cr2O3形成了镁铬尖晶石。正如之前提到的，镁铬尖晶石可以有效固定铬。此外，这些镁铬尖晶石还能促进透辉石相的结晶，作为透辉石相的成核剂。因此，低铬AOD渣、高铬电炉渣等含铬废渣可直接用作微晶玻璃的原料，无需添加大量成核剂。</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i w:val="0"/>
          <w:iCs w:val="0"/>
          <w:caps w:val="0"/>
          <w:color w:val="323232"/>
          <w:spacing w:val="0"/>
          <w:sz w:val="24"/>
          <w:szCs w:val="24"/>
          <w:shd w:val="clear" w:color="auto" w:fill="FFFFFF"/>
          <w:lang w:val="en-US" w:eastAsia="zh-CN"/>
        </w:rPr>
      </w:pPr>
      <w:r>
        <w:rPr>
          <w:rFonts w:hint="eastAsia" w:ascii="黑体" w:hAnsi="黑体" w:eastAsia="黑体" w:cs="黑体"/>
          <w:i w:val="0"/>
          <w:iCs w:val="0"/>
          <w:caps w:val="0"/>
          <w:color w:val="323232"/>
          <w:spacing w:val="0"/>
          <w:sz w:val="24"/>
          <w:szCs w:val="24"/>
          <w:shd w:val="clear" w:color="auto" w:fill="FFFFFF"/>
          <w:lang w:val="en-US" w:eastAsia="zh-CN"/>
        </w:rPr>
        <w:t>1.6.2 IPBM 工艺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t>IPBM 工艺是来自瑞典的一种处理不锈钢冶炼废渣的方案，其工艺流程如图6所示。IPBM 工艺通过使用一种空心电极直流炉以及碳质还原剂等添加剂，可以回收不锈钢生产过程中产生的废渣，包括钢渣和其他副产品，如电炉粉尘、转炉粉尘和其他废渣，并将其中的有价金属和氧化物材料回收利用。该工艺将废渣加热成热等离子体，然后在反应炉中融化、还原和混合，最终得到富含Fe、Mn、V、Cr的金属产品和高含量的ZnO粉尘。同时，其他较稳定的氧化物则留在冶炼渣中。</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i w:val="0"/>
          <w:iCs w:val="0"/>
          <w:caps w:val="0"/>
          <w:color w:val="323232"/>
          <w:spacing w:val="0"/>
          <w:sz w:val="24"/>
          <w:szCs w:val="24"/>
          <w:shd w:val="clear" w:color="auto" w:fill="FFFFFF"/>
          <w:lang w:val="en-US" w:eastAsia="zh-CN"/>
        </w:rPr>
      </w:pPr>
      <w:r>
        <w:rPr>
          <w:rFonts w:hint="eastAsia" w:ascii="宋体" w:hAnsi="宋体" w:eastAsia="宋体" w:cs="宋体"/>
          <w:i w:val="0"/>
          <w:iCs w:val="0"/>
          <w:caps w:val="0"/>
          <w:color w:val="323232"/>
          <w:spacing w:val="0"/>
          <w:sz w:val="24"/>
          <w:szCs w:val="24"/>
          <w:shd w:val="clear" w:color="auto" w:fill="FFFFFF"/>
          <w:lang w:val="en-US" w:eastAsia="zh-CN"/>
        </w:rPr>
        <w:drawing>
          <wp:inline distT="0" distB="0" distL="114300" distR="114300">
            <wp:extent cx="3576320" cy="2633345"/>
            <wp:effectExtent l="0" t="0" r="5080" b="8255"/>
            <wp:docPr id="9" name="图片 13" descr="ZGYE202101016_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ZGYE202101016_086"/>
                    <pic:cNvPicPr>
                      <a:picLocks noChangeAspect="1"/>
                    </pic:cNvPicPr>
                  </pic:nvPicPr>
                  <pic:blipFill>
                    <a:blip r:embed="rId13"/>
                    <a:stretch>
                      <a:fillRect/>
                    </a:stretch>
                  </pic:blipFill>
                  <pic:spPr>
                    <a:xfrm>
                      <a:off x="0" y="0"/>
                      <a:ext cx="3576320" cy="26333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cs="宋体"/>
          <w:i w:val="0"/>
          <w:iCs w:val="0"/>
          <w:caps w:val="0"/>
          <w:color w:val="323232"/>
          <w:spacing w:val="0"/>
          <w:sz w:val="24"/>
          <w:szCs w:val="24"/>
          <w:shd w:val="clear" w:color="auto" w:fill="FFFFFF"/>
          <w:lang w:val="en-US" w:eastAsia="zh-CN"/>
        </w:rPr>
      </w:pPr>
      <w:r>
        <w:rPr>
          <w:rFonts w:hint="eastAsia" w:ascii="宋体" w:hAnsi="宋体" w:cs="宋体"/>
          <w:i w:val="0"/>
          <w:iCs w:val="0"/>
          <w:caps w:val="0"/>
          <w:color w:val="323232"/>
          <w:spacing w:val="0"/>
          <w:sz w:val="24"/>
          <w:szCs w:val="24"/>
          <w:shd w:val="clear" w:color="auto" w:fill="FFFFFF"/>
          <w:lang w:val="en-US" w:eastAsia="zh-CN"/>
        </w:rPr>
        <w:t>图6</w:t>
      </w:r>
      <w:r>
        <w:rPr>
          <w:rFonts w:hint="eastAsia" w:ascii="宋体" w:hAnsi="宋体" w:eastAsia="宋体" w:cs="宋体"/>
          <w:i w:val="0"/>
          <w:iCs w:val="0"/>
          <w:caps w:val="0"/>
          <w:color w:val="323232"/>
          <w:spacing w:val="0"/>
          <w:sz w:val="24"/>
          <w:szCs w:val="24"/>
          <w:shd w:val="clear" w:color="auto" w:fill="FFFFFF"/>
          <w:lang w:val="en-US" w:eastAsia="zh-CN"/>
        </w:rPr>
        <w:t xml:space="preserve"> IPBM 工艺流程</w:t>
      </w:r>
      <w:r>
        <w:rPr>
          <w:rFonts w:hint="eastAsia" w:ascii="宋体" w:hAnsi="宋体" w:cs="宋体"/>
          <w:i w:val="0"/>
          <w:iCs w:val="0"/>
          <w:caps w:val="0"/>
          <w:color w:val="323232"/>
          <w:spacing w:val="0"/>
          <w:sz w:val="24"/>
          <w:szCs w:val="24"/>
          <w:shd w:val="clear" w:color="auto" w:fill="FFFFFF"/>
          <w:lang w:val="en-US" w:eastAsia="zh-CN"/>
        </w:rPr>
        <w:t>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cs="宋体"/>
          <w:i w:val="0"/>
          <w:iCs w:val="0"/>
          <w:caps w:val="0"/>
          <w:color w:val="323232"/>
          <w:spacing w:val="0"/>
          <w:sz w:val="24"/>
          <w:szCs w:val="24"/>
          <w:shd w:val="clear" w:color="auto" w:fill="FFFFFF"/>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iCs w:val="0"/>
          <w:caps w:val="0"/>
          <w:color w:val="323232"/>
          <w:spacing w:val="0"/>
          <w:sz w:val="32"/>
          <w:szCs w:val="32"/>
          <w:shd w:val="clear" w:color="auto" w:fill="FFFFFF"/>
          <w:lang w:val="en-US" w:eastAsia="zh-CN"/>
        </w:rPr>
      </w:pPr>
      <w:r>
        <w:rPr>
          <w:rFonts w:hint="eastAsia" w:ascii="黑体" w:hAnsi="黑体" w:eastAsia="黑体" w:cs="黑体"/>
          <w:i w:val="0"/>
          <w:iCs w:val="0"/>
          <w:caps w:val="0"/>
          <w:color w:val="323232"/>
          <w:spacing w:val="0"/>
          <w:sz w:val="32"/>
          <w:szCs w:val="32"/>
          <w:shd w:val="clear" w:color="auto" w:fill="FFFFFF"/>
          <w:lang w:val="en-US" w:eastAsia="zh-CN"/>
        </w:rPr>
        <w:t>材料与方案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i w:val="0"/>
          <w:iCs w:val="0"/>
          <w:caps w:val="0"/>
          <w:color w:val="323232"/>
          <w:spacing w:val="0"/>
          <w:sz w:val="28"/>
          <w:szCs w:val="28"/>
          <w:shd w:val="clear" w:color="auto" w:fill="FFFFFF"/>
          <w:lang w:val="en-US" w:eastAsia="zh-CN"/>
        </w:rPr>
      </w:pPr>
      <w:r>
        <w:rPr>
          <w:rFonts w:hint="eastAsia" w:ascii="黑体" w:hAnsi="黑体" w:eastAsia="黑体" w:cs="黑体"/>
          <w:i w:val="0"/>
          <w:iCs w:val="0"/>
          <w:caps w:val="0"/>
          <w:color w:val="323232"/>
          <w:spacing w:val="0"/>
          <w:sz w:val="28"/>
          <w:szCs w:val="28"/>
          <w:shd w:val="clear" w:color="auto" w:fill="FFFFFF"/>
          <w:lang w:val="en-US" w:eastAsia="zh-CN"/>
        </w:rPr>
        <w:t>2.1材料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hAnsi="黑体" w:eastAsia="黑体" w:cs="黑体"/>
          <w:i w:val="0"/>
          <w:iCs w:val="0"/>
          <w:caps w:val="0"/>
          <w:color w:val="323232"/>
          <w:spacing w:val="0"/>
          <w:sz w:val="24"/>
          <w:szCs w:val="24"/>
          <w:shd w:val="clear" w:color="auto" w:fill="FFFFFF"/>
          <w:lang w:val="en-US" w:eastAsia="zh-CN"/>
        </w:rPr>
      </w:pPr>
      <w:r>
        <w:rPr>
          <w:rFonts w:hint="eastAsia" w:ascii="黑体" w:hAnsi="黑体" w:eastAsia="黑体" w:cs="黑体"/>
          <w:i w:val="0"/>
          <w:iCs w:val="0"/>
          <w:caps w:val="0"/>
          <w:color w:val="323232"/>
          <w:spacing w:val="0"/>
          <w:sz w:val="24"/>
          <w:szCs w:val="24"/>
          <w:shd w:val="clear" w:color="auto" w:fill="FFFFFF"/>
          <w:lang w:val="en-US" w:eastAsia="zh-CN"/>
        </w:rPr>
        <w:t>2.1.1实验原料</w:t>
      </w:r>
    </w:p>
    <w:p>
      <w:pPr>
        <w:spacing w:line="440" w:lineRule="exact"/>
        <w:rPr>
          <w:rFonts w:hint="eastAsia"/>
          <w:sz w:val="24"/>
          <w:lang w:val="en-US" w:eastAsia="zh-CN"/>
        </w:rPr>
      </w:pPr>
      <w:r>
        <w:rPr>
          <w:rFonts w:hint="eastAsia"/>
          <w:sz w:val="24"/>
          <w:lang w:val="en-US" w:eastAsia="zh-CN"/>
        </w:rPr>
        <w:t>首先，我们从国内某钢厂采集含铬钢渣作为原料，并经过干燥、破碎、筛分等处理，获得了粒径均匀的试样。在破碎过程中发现，含铬钢渣呈玻璃态，制样过程中可以快速制成粉末状，并含有少量银白色金属光泽钢粒（粒径&lt;3mm）。我们对样品进行筛网分离，将粒径小于0.074mm（-200目）的样品与粒径大于0.074mm的样品分开，它们的质量比为3:1。值得注意的是，粒径大于0.074mm的试样中存在磁性颗粒。针对这一现象，我们将对这两种粒径的试样进行物性分析。</w:t>
      </w:r>
    </w:p>
    <w:p>
      <w:pPr>
        <w:spacing w:line="440" w:lineRule="exact"/>
        <w:rPr>
          <w:rFonts w:hint="eastAsia"/>
          <w:sz w:val="24"/>
          <w:lang w:val="en-US" w:eastAsia="zh-CN"/>
        </w:rPr>
      </w:pPr>
    </w:p>
    <w:p>
      <w:pPr>
        <w:spacing w:line="440" w:lineRule="exact"/>
        <w:rPr>
          <w:rFonts w:hint="eastAsia"/>
          <w:sz w:val="24"/>
        </w:rPr>
      </w:pPr>
      <w:r>
        <w:rPr>
          <w:rFonts w:hint="eastAsia"/>
          <w:sz w:val="24"/>
          <w:lang w:val="en-US" w:eastAsia="zh-CN"/>
        </w:rPr>
        <w:t>接下来，我们将运用X射线衍射技术分析钢渣的物相组成，利用扫描电子显微镜-能量色散谱分析技术观察钢渣的微观形貌和元素分布情况，采用电感耦合等离子体发射光谱法分析钢渣中化学元素的含量。通过以上分析手段，我们将确定钢渣中有价组元素的存在形式，并以此为基础设计工艺路线和实验条件。</w:t>
      </w:r>
      <w:r>
        <w:drawing>
          <wp:anchor distT="0" distB="0" distL="114300" distR="114300" simplePos="0" relativeHeight="251660288" behindDoc="0" locked="0" layoutInCell="1" allowOverlap="1">
            <wp:simplePos x="0" y="0"/>
            <wp:positionH relativeFrom="column">
              <wp:posOffset>254635</wp:posOffset>
            </wp:positionH>
            <wp:positionV relativeFrom="paragraph">
              <wp:posOffset>276860</wp:posOffset>
            </wp:positionV>
            <wp:extent cx="5288915" cy="3143250"/>
            <wp:effectExtent l="0" t="0" r="6985" b="635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5288915" cy="3143250"/>
                    </a:xfrm>
                    <a:prstGeom prst="rect">
                      <a:avLst/>
                    </a:prstGeom>
                    <a:noFill/>
                    <a:ln>
                      <a:noFill/>
                    </a:ln>
                  </pic:spPr>
                </pic:pic>
              </a:graphicData>
            </a:graphic>
          </wp:anchor>
        </w:drawing>
      </w:r>
    </w:p>
    <w:p>
      <w:pPr>
        <w:jc w:val="center"/>
        <w:rPr>
          <w:rFonts w:hint="eastAsia" w:ascii="宋体" w:hAnsi="宋体" w:eastAsia="宋体" w:cs="宋体"/>
          <w:sz w:val="24"/>
          <w:szCs w:val="24"/>
        </w:rPr>
      </w:pPr>
      <w:r>
        <w:rPr>
          <w:rFonts w:hint="eastAsia" w:ascii="宋体" w:hAnsi="宋体" w:eastAsia="宋体" w:cs="宋体"/>
          <w:sz w:val="24"/>
          <w:szCs w:val="24"/>
        </w:rPr>
        <w:t>图</w:t>
      </w:r>
      <w:r>
        <w:rPr>
          <w:rFonts w:hint="eastAsia" w:ascii="宋体" w:hAnsi="宋体" w:cs="宋体"/>
          <w:sz w:val="24"/>
          <w:szCs w:val="24"/>
          <w:lang w:val="en-US" w:eastAsia="zh-CN"/>
        </w:rPr>
        <w:t>7</w:t>
      </w:r>
      <w:r>
        <w:rPr>
          <w:rFonts w:hint="eastAsia" w:ascii="宋体" w:hAnsi="宋体" w:eastAsia="宋体" w:cs="宋体"/>
          <w:sz w:val="24"/>
          <w:szCs w:val="24"/>
        </w:rPr>
        <w:t xml:space="preserve"> 粒径小于74μm含铬钢渣（1#样品）SEM照片</w:t>
      </w:r>
    </w:p>
    <w:p>
      <w:pPr>
        <w:ind w:firstLine="420"/>
        <w:rPr>
          <w:w w:val="115"/>
          <w:sz w:val="24"/>
          <w:szCs w:val="24"/>
        </w:rPr>
      </w:pPr>
    </w:p>
    <w:p>
      <w:pPr>
        <w:ind w:firstLine="420"/>
        <w:rPr>
          <w:rFonts w:hint="eastAsia" w:eastAsia="宋体"/>
          <w:w w:val="115"/>
          <w:sz w:val="24"/>
          <w:szCs w:val="24"/>
          <w:lang w:eastAsia="zh-CN"/>
        </w:rPr>
      </w:pPr>
      <w:r>
        <w:rPr>
          <w:rFonts w:hint="eastAsia" w:eastAsia="宋体"/>
          <w:w w:val="115"/>
          <w:sz w:val="24"/>
          <w:szCs w:val="24"/>
          <w:lang w:eastAsia="zh-CN"/>
        </w:rPr>
        <w:drawing>
          <wp:inline distT="0" distB="0" distL="114300" distR="114300">
            <wp:extent cx="1214755" cy="986790"/>
            <wp:effectExtent l="0" t="0" r="4445" b="3810"/>
            <wp:docPr id="10" name="图片 38" descr="1-1Ch 0_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8" descr="1-1Ch 0_Al-K"/>
                    <pic:cNvPicPr>
                      <a:picLocks noChangeAspect="1"/>
                    </pic:cNvPicPr>
                  </pic:nvPicPr>
                  <pic:blipFill>
                    <a:blip r:embed="rId15"/>
                    <a:stretch>
                      <a:fillRect/>
                    </a:stretch>
                  </pic:blipFill>
                  <pic:spPr>
                    <a:xfrm>
                      <a:off x="0" y="0"/>
                      <a:ext cx="1214755" cy="986790"/>
                    </a:xfrm>
                    <a:prstGeom prst="rect">
                      <a:avLst/>
                    </a:prstGeom>
                    <a:noFill/>
                    <a:ln>
                      <a:noFill/>
                    </a:ln>
                  </pic:spPr>
                </pic:pic>
              </a:graphicData>
            </a:graphic>
          </wp:inline>
        </w:drawing>
      </w:r>
      <w:r>
        <w:rPr>
          <w:rFonts w:hint="eastAsia" w:eastAsia="宋体"/>
          <w:w w:val="115"/>
          <w:sz w:val="24"/>
          <w:szCs w:val="24"/>
          <w:lang w:eastAsia="zh-CN"/>
        </w:rPr>
        <w:drawing>
          <wp:inline distT="0" distB="0" distL="114300" distR="114300">
            <wp:extent cx="1268730" cy="984250"/>
            <wp:effectExtent l="0" t="0" r="1270" b="6350"/>
            <wp:docPr id="11" name="图片 33" descr="1-1Ch 0_Ca-K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descr="1-1Ch 0_Ca-Kα"/>
                    <pic:cNvPicPr>
                      <a:picLocks noChangeAspect="1"/>
                    </pic:cNvPicPr>
                  </pic:nvPicPr>
                  <pic:blipFill>
                    <a:blip r:embed="rId16"/>
                    <a:stretch>
                      <a:fillRect/>
                    </a:stretch>
                  </pic:blipFill>
                  <pic:spPr>
                    <a:xfrm>
                      <a:off x="0" y="0"/>
                      <a:ext cx="1268730" cy="984250"/>
                    </a:xfrm>
                    <a:prstGeom prst="rect">
                      <a:avLst/>
                    </a:prstGeom>
                    <a:noFill/>
                    <a:ln>
                      <a:noFill/>
                    </a:ln>
                  </pic:spPr>
                </pic:pic>
              </a:graphicData>
            </a:graphic>
          </wp:inline>
        </w:drawing>
      </w:r>
      <w:r>
        <w:rPr>
          <w:rFonts w:hint="eastAsia" w:eastAsia="宋体"/>
          <w:w w:val="115"/>
          <w:sz w:val="24"/>
          <w:szCs w:val="24"/>
          <w:lang w:eastAsia="zh-CN"/>
        </w:rPr>
        <w:drawing>
          <wp:inline distT="0" distB="0" distL="114300" distR="114300">
            <wp:extent cx="1386205" cy="990600"/>
            <wp:effectExtent l="0" t="0" r="10795" b="0"/>
            <wp:docPr id="12" name="图片 42" descr="1-1Ch 0_C-K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descr="1-1Ch 0_C-Kα"/>
                    <pic:cNvPicPr>
                      <a:picLocks noChangeAspect="1"/>
                    </pic:cNvPicPr>
                  </pic:nvPicPr>
                  <pic:blipFill>
                    <a:blip r:embed="rId17"/>
                    <a:stretch>
                      <a:fillRect/>
                    </a:stretch>
                  </pic:blipFill>
                  <pic:spPr>
                    <a:xfrm>
                      <a:off x="0" y="0"/>
                      <a:ext cx="1386205" cy="990600"/>
                    </a:xfrm>
                    <a:prstGeom prst="rect">
                      <a:avLst/>
                    </a:prstGeom>
                    <a:noFill/>
                    <a:ln>
                      <a:noFill/>
                    </a:ln>
                  </pic:spPr>
                </pic:pic>
              </a:graphicData>
            </a:graphic>
          </wp:inline>
        </w:drawing>
      </w:r>
      <w:r>
        <w:rPr>
          <w:rFonts w:hint="eastAsia" w:eastAsia="宋体"/>
          <w:w w:val="115"/>
          <w:sz w:val="24"/>
          <w:szCs w:val="24"/>
          <w:lang w:eastAsia="zh-CN"/>
        </w:rPr>
        <w:drawing>
          <wp:inline distT="0" distB="0" distL="114300" distR="114300">
            <wp:extent cx="1360805" cy="971550"/>
            <wp:effectExtent l="0" t="0" r="10795" b="6350"/>
            <wp:docPr id="13" name="图片 43" descr="1-1Ch 0_Cr-K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3" descr="1-1Ch 0_Cr-Kα"/>
                    <pic:cNvPicPr>
                      <a:picLocks noChangeAspect="1"/>
                    </pic:cNvPicPr>
                  </pic:nvPicPr>
                  <pic:blipFill>
                    <a:blip r:embed="rId18"/>
                    <a:stretch>
                      <a:fillRect/>
                    </a:stretch>
                  </pic:blipFill>
                  <pic:spPr>
                    <a:xfrm>
                      <a:off x="0" y="0"/>
                      <a:ext cx="1360805" cy="971550"/>
                    </a:xfrm>
                    <a:prstGeom prst="rect">
                      <a:avLst/>
                    </a:prstGeom>
                    <a:noFill/>
                    <a:ln>
                      <a:noFill/>
                    </a:ln>
                  </pic:spPr>
                </pic:pic>
              </a:graphicData>
            </a:graphic>
          </wp:inline>
        </w:drawing>
      </w:r>
    </w:p>
    <w:p>
      <w:pPr>
        <w:ind w:firstLine="420"/>
        <w:rPr>
          <w:rFonts w:hint="eastAsia" w:eastAsia="宋体"/>
          <w:w w:val="115"/>
          <w:sz w:val="24"/>
          <w:szCs w:val="24"/>
          <w:lang w:eastAsia="zh-CN"/>
        </w:rPr>
      </w:pPr>
      <w:r>
        <w:rPr>
          <w:rFonts w:hint="eastAsia" w:eastAsia="宋体"/>
          <w:w w:val="115"/>
          <w:sz w:val="24"/>
          <w:szCs w:val="24"/>
          <w:lang w:eastAsia="zh-CN"/>
        </w:rPr>
        <w:drawing>
          <wp:inline distT="0" distB="0" distL="114300" distR="114300">
            <wp:extent cx="1216660" cy="984885"/>
            <wp:effectExtent l="0" t="0" r="2540" b="5715"/>
            <wp:docPr id="14" name="图片 44" descr="1-1Ch 0_M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4" descr="1-1Ch 0_Mg-K"/>
                    <pic:cNvPicPr>
                      <a:picLocks noChangeAspect="1"/>
                    </pic:cNvPicPr>
                  </pic:nvPicPr>
                  <pic:blipFill>
                    <a:blip r:embed="rId19"/>
                    <a:stretch>
                      <a:fillRect/>
                    </a:stretch>
                  </pic:blipFill>
                  <pic:spPr>
                    <a:xfrm>
                      <a:off x="0" y="0"/>
                      <a:ext cx="1216660" cy="984885"/>
                    </a:xfrm>
                    <a:prstGeom prst="rect">
                      <a:avLst/>
                    </a:prstGeom>
                    <a:noFill/>
                    <a:ln>
                      <a:noFill/>
                    </a:ln>
                  </pic:spPr>
                </pic:pic>
              </a:graphicData>
            </a:graphic>
          </wp:inline>
        </w:drawing>
      </w:r>
      <w:r>
        <w:rPr>
          <w:rFonts w:hint="eastAsia" w:eastAsia="宋体"/>
          <w:w w:val="115"/>
          <w:sz w:val="24"/>
          <w:szCs w:val="24"/>
          <w:lang w:eastAsia="zh-CN"/>
        </w:rPr>
        <w:drawing>
          <wp:inline distT="0" distB="0" distL="114300" distR="114300">
            <wp:extent cx="1289685" cy="984250"/>
            <wp:effectExtent l="0" t="0" r="5715" b="6350"/>
            <wp:docPr id="15" name="图片 41" descr="1-1Ch 0_Nb-L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1" descr="1-1Ch 0_Nb-Lα"/>
                    <pic:cNvPicPr>
                      <a:picLocks noChangeAspect="1"/>
                    </pic:cNvPicPr>
                  </pic:nvPicPr>
                  <pic:blipFill>
                    <a:blip r:embed="rId20"/>
                    <a:stretch>
                      <a:fillRect/>
                    </a:stretch>
                  </pic:blipFill>
                  <pic:spPr>
                    <a:xfrm>
                      <a:off x="0" y="0"/>
                      <a:ext cx="1289685" cy="984250"/>
                    </a:xfrm>
                    <a:prstGeom prst="rect">
                      <a:avLst/>
                    </a:prstGeom>
                    <a:noFill/>
                    <a:ln>
                      <a:noFill/>
                    </a:ln>
                  </pic:spPr>
                </pic:pic>
              </a:graphicData>
            </a:graphic>
          </wp:inline>
        </w:drawing>
      </w:r>
      <w:r>
        <w:rPr>
          <w:rFonts w:hint="eastAsia" w:eastAsia="宋体"/>
          <w:w w:val="115"/>
          <w:sz w:val="24"/>
          <w:szCs w:val="24"/>
          <w:lang w:eastAsia="zh-CN"/>
        </w:rPr>
        <w:drawing>
          <wp:inline distT="0" distB="0" distL="114300" distR="114300">
            <wp:extent cx="1367790" cy="986790"/>
            <wp:effectExtent l="0" t="0" r="3810" b="3810"/>
            <wp:docPr id="16" name="图片 45" descr="1-1Ch 0_O-K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5" descr="1-1Ch 0_O-Kα"/>
                    <pic:cNvPicPr>
                      <a:picLocks noChangeAspect="1"/>
                    </pic:cNvPicPr>
                  </pic:nvPicPr>
                  <pic:blipFill>
                    <a:blip r:embed="rId21"/>
                    <a:stretch>
                      <a:fillRect/>
                    </a:stretch>
                  </pic:blipFill>
                  <pic:spPr>
                    <a:xfrm>
                      <a:off x="0" y="0"/>
                      <a:ext cx="1367790" cy="986790"/>
                    </a:xfrm>
                    <a:prstGeom prst="rect">
                      <a:avLst/>
                    </a:prstGeom>
                    <a:noFill/>
                    <a:ln>
                      <a:noFill/>
                    </a:ln>
                  </pic:spPr>
                </pic:pic>
              </a:graphicData>
            </a:graphic>
          </wp:inline>
        </w:drawing>
      </w:r>
      <w:r>
        <w:rPr>
          <w:rFonts w:hint="eastAsia" w:eastAsia="宋体"/>
          <w:w w:val="115"/>
          <w:sz w:val="24"/>
          <w:szCs w:val="24"/>
          <w:lang w:eastAsia="zh-CN"/>
        </w:rPr>
        <w:drawing>
          <wp:inline distT="0" distB="0" distL="114300" distR="114300">
            <wp:extent cx="1362710" cy="976630"/>
            <wp:effectExtent l="0" t="0" r="8890" b="1270"/>
            <wp:docPr id="17" name="图片 46" descr="1-1Ch 0_Si-K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6" descr="1-1Ch 0_Si-Kα"/>
                    <pic:cNvPicPr>
                      <a:picLocks noChangeAspect="1"/>
                    </pic:cNvPicPr>
                  </pic:nvPicPr>
                  <pic:blipFill>
                    <a:blip r:embed="rId22"/>
                    <a:stretch>
                      <a:fillRect/>
                    </a:stretch>
                  </pic:blipFill>
                  <pic:spPr>
                    <a:xfrm>
                      <a:off x="0" y="0"/>
                      <a:ext cx="1362710" cy="976630"/>
                    </a:xfrm>
                    <a:prstGeom prst="rect">
                      <a:avLst/>
                    </a:prstGeom>
                    <a:noFill/>
                    <a:ln>
                      <a:noFill/>
                    </a:ln>
                  </pic:spPr>
                </pic:pic>
              </a:graphicData>
            </a:graphic>
          </wp:inline>
        </w:drawing>
      </w:r>
    </w:p>
    <w:p>
      <w:pPr>
        <w:ind w:firstLine="420"/>
        <w:rPr>
          <w:rFonts w:hint="eastAsia" w:eastAsia="宋体"/>
          <w:w w:val="115"/>
          <w:sz w:val="24"/>
          <w:szCs w:val="24"/>
          <w:lang w:eastAsia="zh-CN"/>
        </w:rPr>
      </w:pPr>
      <w:r>
        <w:rPr>
          <w:rFonts w:hint="eastAsia" w:eastAsia="宋体"/>
          <w:w w:val="115"/>
          <w:sz w:val="24"/>
          <w:szCs w:val="24"/>
          <w:lang w:eastAsia="zh-CN"/>
        </w:rPr>
        <w:drawing>
          <wp:inline distT="0" distB="0" distL="114300" distR="114300">
            <wp:extent cx="1708150" cy="1175385"/>
            <wp:effectExtent l="0" t="0" r="6350" b="5715"/>
            <wp:docPr id="18" name="图片 4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7" descr="1-3"/>
                    <pic:cNvPicPr>
                      <a:picLocks noChangeAspect="1"/>
                    </pic:cNvPicPr>
                  </pic:nvPicPr>
                  <pic:blipFill>
                    <a:blip r:embed="rId23"/>
                    <a:stretch>
                      <a:fillRect/>
                    </a:stretch>
                  </pic:blipFill>
                  <pic:spPr>
                    <a:xfrm>
                      <a:off x="0" y="0"/>
                      <a:ext cx="1708150" cy="1175385"/>
                    </a:xfrm>
                    <a:prstGeom prst="rect">
                      <a:avLst/>
                    </a:prstGeom>
                    <a:noFill/>
                    <a:ln>
                      <a:noFill/>
                    </a:ln>
                  </pic:spPr>
                </pic:pic>
              </a:graphicData>
            </a:graphic>
          </wp:inline>
        </w:drawing>
      </w:r>
    </w:p>
    <w:p>
      <w:pPr>
        <w:ind w:firstLine="420"/>
        <w:jc w:val="center"/>
        <w:rPr>
          <w:rFonts w:hint="eastAsia" w:ascii="宋体" w:hAnsi="宋体" w:eastAsia="宋体" w:cs="宋体"/>
          <w:sz w:val="24"/>
          <w:szCs w:val="24"/>
        </w:rPr>
      </w:pPr>
      <w:r>
        <w:rPr>
          <w:rFonts w:hint="eastAsia"/>
          <w:w w:val="115"/>
          <w:sz w:val="24"/>
          <w:szCs w:val="24"/>
          <w:lang w:val="en-US" w:eastAsia="zh-CN"/>
        </w:rPr>
        <w:t>图8</w:t>
      </w:r>
      <w:r>
        <w:rPr>
          <w:w w:val="115"/>
          <w:sz w:val="24"/>
          <w:szCs w:val="24"/>
        </w:rPr>
        <w:t>残渣中的元素</w:t>
      </w:r>
      <w:r>
        <w:rPr>
          <w:spacing w:val="17"/>
          <w:w w:val="115"/>
          <w:sz w:val="24"/>
          <w:szCs w:val="24"/>
        </w:rPr>
        <w:t>图</w:t>
      </w:r>
      <w:r>
        <w:rPr>
          <w:w w:val="115"/>
          <w:sz w:val="24"/>
          <w:szCs w:val="24"/>
        </w:rPr>
        <w:t>谱图像</w:t>
      </w:r>
    </w:p>
    <w:p>
      <w:pPr>
        <w:ind w:firstLine="420"/>
        <w:rPr>
          <w:rFonts w:hint="eastAsia" w:ascii="宋体" w:hAnsi="宋体" w:eastAsia="宋体" w:cs="宋体"/>
          <w:sz w:val="24"/>
          <w:szCs w:val="24"/>
        </w:rPr>
      </w:pPr>
      <w:r>
        <w:rPr>
          <w:rFonts w:hint="eastAsia" w:ascii="宋体" w:hAnsi="宋体" w:eastAsia="宋体" w:cs="宋体"/>
          <w:sz w:val="24"/>
          <w:szCs w:val="24"/>
        </w:rPr>
        <w:t>经过粉碎和筛分后，钢渣的粒径小于74μm，其微观形貌可以参考图7。从图中可以看出，钢渣颗粒呈现不规则形状，没有明显的晶体结构。通过对不同颗粒进行EDS分析（详见表1），可以确定钢渣中的主要化学元素为C、O、Si、Ca和Cr，其中Cr元素的含量范围为2.73%~20.14%，这些元素具备回收的价值。</w:t>
      </w:r>
    </w:p>
    <w:p>
      <w:pPr>
        <w:jc w:val="both"/>
        <w:rPr>
          <w:rFonts w:hint="eastAsia" w:ascii="宋体" w:hAnsi="宋体" w:eastAsia="宋体" w:cs="宋体"/>
        </w:rPr>
      </w:pPr>
    </w:p>
    <w:p>
      <w:pPr>
        <w:jc w:val="both"/>
        <w:rPr>
          <w:rFonts w:hint="eastAsia" w:ascii="宋体" w:hAnsi="宋体" w:eastAsia="宋体" w:cs="宋体"/>
        </w:rPr>
      </w:pP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0"/>
        <w:gridCol w:w="791"/>
        <w:gridCol w:w="791"/>
        <w:gridCol w:w="742"/>
        <w:gridCol w:w="778"/>
        <w:gridCol w:w="665"/>
        <w:gridCol w:w="790"/>
        <w:gridCol w:w="790"/>
        <w:gridCol w:w="748"/>
        <w:gridCol w:w="790"/>
        <w:gridCol w:w="742"/>
        <w:gridCol w:w="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vMerge w:val="restart"/>
            <w:noWrap w:val="0"/>
            <w:vAlign w:val="center"/>
          </w:tcPr>
          <w:p>
            <w:pPr>
              <w:jc w:val="center"/>
              <w:rPr>
                <w:rFonts w:hint="eastAsia" w:ascii="宋体" w:hAnsi="宋体" w:eastAsia="宋体" w:cs="宋体"/>
                <w:szCs w:val="22"/>
              </w:rPr>
            </w:pPr>
            <w:r>
              <w:rPr>
                <w:rFonts w:hint="eastAsia" w:ascii="宋体" w:hAnsi="宋体" w:eastAsia="宋体" w:cs="宋体"/>
                <w:szCs w:val="22"/>
              </w:rPr>
              <w:t>序号</w:t>
            </w:r>
          </w:p>
        </w:tc>
        <w:tc>
          <w:tcPr>
            <w:tcW w:w="4461" w:type="pct"/>
            <w:gridSpan w:val="11"/>
            <w:noWrap w:val="0"/>
            <w:vAlign w:val="top"/>
          </w:tcPr>
          <w:p>
            <w:pPr>
              <w:jc w:val="center"/>
              <w:rPr>
                <w:rFonts w:hint="eastAsia" w:ascii="宋体" w:hAnsi="宋体" w:eastAsia="宋体" w:cs="宋体"/>
                <w:szCs w:val="22"/>
              </w:rPr>
            </w:pPr>
            <w:r>
              <w:rPr>
                <w:rFonts w:hint="eastAsia" w:ascii="宋体" w:hAnsi="宋体" w:eastAsia="宋体" w:cs="宋体"/>
                <w:szCs w:val="22"/>
              </w:rPr>
              <w:t>元素含量（wt.%）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vMerge w:val="continue"/>
            <w:noWrap w:val="0"/>
            <w:vAlign w:val="center"/>
          </w:tcPr>
          <w:p>
            <w:pPr>
              <w:jc w:val="center"/>
              <w:rPr>
                <w:rFonts w:hint="eastAsia" w:ascii="宋体" w:hAnsi="宋体" w:eastAsia="宋体" w:cs="宋体"/>
                <w:szCs w:val="22"/>
              </w:rPr>
            </w:pP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C</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O</w:t>
            </w:r>
          </w:p>
        </w:tc>
        <w:tc>
          <w:tcPr>
            <w:tcW w:w="399" w:type="pct"/>
            <w:noWrap w:val="0"/>
            <w:vAlign w:val="top"/>
          </w:tcPr>
          <w:p>
            <w:pPr>
              <w:jc w:val="center"/>
              <w:rPr>
                <w:rFonts w:hint="eastAsia" w:ascii="宋体" w:hAnsi="宋体" w:eastAsia="宋体" w:cs="宋体"/>
                <w:szCs w:val="22"/>
              </w:rPr>
            </w:pPr>
            <w:r>
              <w:rPr>
                <w:rFonts w:hint="eastAsia" w:ascii="宋体" w:hAnsi="宋体" w:eastAsia="宋体" w:cs="宋体"/>
                <w:szCs w:val="22"/>
              </w:rPr>
              <w:t>F</w:t>
            </w:r>
          </w:p>
        </w:tc>
        <w:tc>
          <w:tcPr>
            <w:tcW w:w="418" w:type="pct"/>
            <w:noWrap w:val="0"/>
            <w:vAlign w:val="center"/>
          </w:tcPr>
          <w:p>
            <w:pPr>
              <w:jc w:val="center"/>
              <w:rPr>
                <w:rFonts w:hint="eastAsia" w:ascii="宋体" w:hAnsi="宋体" w:eastAsia="宋体" w:cs="宋体"/>
                <w:szCs w:val="22"/>
              </w:rPr>
            </w:pPr>
            <w:r>
              <w:rPr>
                <w:rFonts w:hint="eastAsia" w:ascii="宋体" w:hAnsi="宋体" w:eastAsia="宋体" w:cs="宋体"/>
                <w:szCs w:val="22"/>
              </w:rPr>
              <w:t>Mg</w:t>
            </w:r>
          </w:p>
        </w:tc>
        <w:tc>
          <w:tcPr>
            <w:tcW w:w="357" w:type="pct"/>
            <w:noWrap w:val="0"/>
            <w:vAlign w:val="center"/>
          </w:tcPr>
          <w:p>
            <w:pPr>
              <w:jc w:val="center"/>
              <w:rPr>
                <w:rFonts w:hint="eastAsia" w:ascii="宋体" w:hAnsi="宋体" w:eastAsia="宋体" w:cs="宋体"/>
                <w:szCs w:val="22"/>
              </w:rPr>
            </w:pPr>
            <w:r>
              <w:rPr>
                <w:rFonts w:hint="eastAsia" w:ascii="宋体" w:hAnsi="宋体" w:eastAsia="宋体" w:cs="宋体"/>
                <w:szCs w:val="22"/>
              </w:rPr>
              <w:t>Al</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Si</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Ca</w:t>
            </w:r>
          </w:p>
        </w:tc>
        <w:tc>
          <w:tcPr>
            <w:tcW w:w="402" w:type="pct"/>
            <w:noWrap w:val="0"/>
            <w:vAlign w:val="center"/>
          </w:tcPr>
          <w:p>
            <w:pPr>
              <w:jc w:val="center"/>
              <w:rPr>
                <w:rFonts w:hint="eastAsia" w:ascii="宋体" w:hAnsi="宋体" w:eastAsia="宋体" w:cs="宋体"/>
                <w:szCs w:val="22"/>
              </w:rPr>
            </w:pPr>
            <w:r>
              <w:rPr>
                <w:rFonts w:hint="eastAsia" w:ascii="宋体" w:hAnsi="宋体" w:eastAsia="宋体" w:cs="宋体"/>
                <w:szCs w:val="22"/>
              </w:rPr>
              <w:t>Ti</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Cr</w:t>
            </w:r>
          </w:p>
        </w:tc>
        <w:tc>
          <w:tcPr>
            <w:tcW w:w="399" w:type="pct"/>
            <w:noWrap w:val="0"/>
            <w:vAlign w:val="center"/>
          </w:tcPr>
          <w:p>
            <w:pPr>
              <w:jc w:val="center"/>
              <w:rPr>
                <w:rFonts w:hint="eastAsia" w:ascii="宋体" w:hAnsi="宋体" w:eastAsia="宋体" w:cs="宋体"/>
                <w:szCs w:val="22"/>
              </w:rPr>
            </w:pPr>
            <w:r>
              <w:rPr>
                <w:rFonts w:hint="eastAsia" w:ascii="宋体" w:hAnsi="宋体" w:eastAsia="宋体" w:cs="宋体"/>
                <w:szCs w:val="22"/>
              </w:rPr>
              <w:t>Mn</w:t>
            </w:r>
          </w:p>
        </w:tc>
        <w:tc>
          <w:tcPr>
            <w:tcW w:w="356" w:type="pct"/>
            <w:noWrap w:val="0"/>
            <w:vAlign w:val="top"/>
          </w:tcPr>
          <w:p>
            <w:pPr>
              <w:jc w:val="center"/>
              <w:rPr>
                <w:rFonts w:hint="eastAsia" w:ascii="宋体" w:hAnsi="宋体" w:eastAsia="宋体" w:cs="宋体"/>
                <w:szCs w:val="22"/>
              </w:rPr>
            </w:pPr>
            <w:r>
              <w:rPr>
                <w:rFonts w:hint="eastAsia" w:ascii="宋体" w:hAnsi="宋体" w:eastAsia="宋体" w:cs="宋体"/>
                <w:szCs w:val="22"/>
              </w:rPr>
              <w:t>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rFonts w:hint="eastAsia" w:ascii="宋体" w:hAnsi="宋体" w:eastAsia="宋体" w:cs="宋体"/>
                <w:szCs w:val="22"/>
              </w:rPr>
            </w:pPr>
            <w:r>
              <w:rPr>
                <w:rFonts w:hint="eastAsia" w:ascii="宋体" w:hAnsi="宋体" w:eastAsia="宋体" w:cs="宋体"/>
                <w:szCs w:val="22"/>
              </w:rPr>
              <w:t>1</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4.58</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39.10</w:t>
            </w:r>
          </w:p>
        </w:tc>
        <w:tc>
          <w:tcPr>
            <w:tcW w:w="399" w:type="pct"/>
            <w:noWrap w:val="0"/>
            <w:vAlign w:val="top"/>
          </w:tcPr>
          <w:p>
            <w:pPr>
              <w:jc w:val="center"/>
              <w:rPr>
                <w:rFonts w:hint="eastAsia" w:ascii="宋体" w:hAnsi="宋体" w:eastAsia="宋体" w:cs="宋体"/>
                <w:szCs w:val="22"/>
              </w:rPr>
            </w:pPr>
            <w:r>
              <w:rPr>
                <w:rFonts w:hint="eastAsia" w:ascii="宋体" w:hAnsi="宋体" w:eastAsia="宋体" w:cs="宋体"/>
                <w:szCs w:val="22"/>
              </w:rPr>
              <w:t>-</w:t>
            </w:r>
          </w:p>
        </w:tc>
        <w:tc>
          <w:tcPr>
            <w:tcW w:w="418" w:type="pct"/>
            <w:noWrap w:val="0"/>
            <w:vAlign w:val="center"/>
          </w:tcPr>
          <w:p>
            <w:pPr>
              <w:jc w:val="center"/>
              <w:rPr>
                <w:rFonts w:hint="eastAsia" w:ascii="宋体" w:hAnsi="宋体" w:eastAsia="宋体" w:cs="宋体"/>
                <w:szCs w:val="22"/>
              </w:rPr>
            </w:pPr>
            <w:r>
              <w:rPr>
                <w:rFonts w:hint="eastAsia" w:ascii="宋体" w:hAnsi="宋体" w:eastAsia="宋体" w:cs="宋体"/>
                <w:szCs w:val="22"/>
              </w:rPr>
              <w:t>1.60</w:t>
            </w:r>
          </w:p>
        </w:tc>
        <w:tc>
          <w:tcPr>
            <w:tcW w:w="357" w:type="pct"/>
            <w:noWrap w:val="0"/>
            <w:vAlign w:val="center"/>
          </w:tcPr>
          <w:p>
            <w:pPr>
              <w:jc w:val="center"/>
              <w:rPr>
                <w:rFonts w:hint="eastAsia" w:ascii="宋体" w:hAnsi="宋体" w:eastAsia="宋体" w:cs="宋体"/>
                <w:szCs w:val="22"/>
              </w:rPr>
            </w:pPr>
            <w:r>
              <w:rPr>
                <w:rFonts w:hint="eastAsia" w:ascii="宋体" w:hAnsi="宋体" w:eastAsia="宋体" w:cs="宋体"/>
                <w:szCs w:val="22"/>
              </w:rPr>
              <w:t>0.85</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13.69</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32.32</w:t>
            </w:r>
          </w:p>
        </w:tc>
        <w:tc>
          <w:tcPr>
            <w:tcW w:w="402" w:type="pct"/>
            <w:noWrap w:val="0"/>
            <w:vAlign w:val="center"/>
          </w:tcPr>
          <w:p>
            <w:pPr>
              <w:jc w:val="center"/>
              <w:rPr>
                <w:rFonts w:hint="eastAsia" w:ascii="宋体" w:hAnsi="宋体" w:eastAsia="宋体" w:cs="宋体"/>
                <w:szCs w:val="22"/>
              </w:rPr>
            </w:pPr>
            <w:r>
              <w:rPr>
                <w:rFonts w:hint="eastAsia" w:ascii="宋体" w:hAnsi="宋体" w:eastAsia="宋体" w:cs="宋体"/>
                <w:szCs w:val="22"/>
              </w:rPr>
              <w:t>0.80</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4.02</w:t>
            </w:r>
          </w:p>
        </w:tc>
        <w:tc>
          <w:tcPr>
            <w:tcW w:w="399" w:type="pct"/>
            <w:noWrap w:val="0"/>
            <w:vAlign w:val="center"/>
          </w:tcPr>
          <w:p>
            <w:pPr>
              <w:jc w:val="center"/>
              <w:rPr>
                <w:rFonts w:hint="eastAsia" w:ascii="宋体" w:hAnsi="宋体" w:eastAsia="宋体" w:cs="宋体"/>
                <w:szCs w:val="22"/>
              </w:rPr>
            </w:pPr>
            <w:r>
              <w:rPr>
                <w:rFonts w:hint="eastAsia" w:ascii="宋体" w:hAnsi="宋体" w:eastAsia="宋体" w:cs="宋体"/>
                <w:szCs w:val="22"/>
              </w:rPr>
              <w:t>1.27</w:t>
            </w:r>
          </w:p>
        </w:tc>
        <w:tc>
          <w:tcPr>
            <w:tcW w:w="356" w:type="pct"/>
            <w:noWrap w:val="0"/>
            <w:vAlign w:val="top"/>
          </w:tcPr>
          <w:p>
            <w:pPr>
              <w:jc w:val="center"/>
              <w:rPr>
                <w:rFonts w:hint="eastAsia" w:ascii="宋体" w:hAnsi="宋体" w:eastAsia="宋体" w:cs="宋体"/>
                <w:szCs w:val="22"/>
              </w:rPr>
            </w:pPr>
            <w:r>
              <w:rPr>
                <w:rFonts w:hint="eastAsia" w:ascii="宋体" w:hAnsi="宋体" w:eastAsia="宋体" w:cs="宋体"/>
                <w:szCs w:val="22"/>
              </w:rPr>
              <w:t>1.76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rFonts w:hint="eastAsia" w:ascii="宋体" w:hAnsi="宋体" w:eastAsia="宋体" w:cs="宋体"/>
                <w:szCs w:val="22"/>
              </w:rPr>
            </w:pPr>
            <w:r>
              <w:rPr>
                <w:rFonts w:hint="eastAsia" w:ascii="宋体" w:hAnsi="宋体" w:eastAsia="宋体" w:cs="宋体"/>
                <w:szCs w:val="22"/>
              </w:rPr>
              <w:t>2</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9.39</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32.05</w:t>
            </w:r>
          </w:p>
        </w:tc>
        <w:tc>
          <w:tcPr>
            <w:tcW w:w="399" w:type="pct"/>
            <w:noWrap w:val="0"/>
            <w:vAlign w:val="center"/>
          </w:tcPr>
          <w:p>
            <w:pPr>
              <w:jc w:val="center"/>
              <w:rPr>
                <w:rFonts w:hint="eastAsia" w:ascii="宋体" w:hAnsi="宋体" w:eastAsia="宋体" w:cs="宋体"/>
                <w:szCs w:val="22"/>
              </w:rPr>
            </w:pPr>
            <w:r>
              <w:rPr>
                <w:rFonts w:hint="eastAsia" w:ascii="宋体" w:hAnsi="宋体" w:eastAsia="宋体" w:cs="宋体"/>
                <w:szCs w:val="22"/>
              </w:rPr>
              <w:t>1.70</w:t>
            </w:r>
          </w:p>
        </w:tc>
        <w:tc>
          <w:tcPr>
            <w:tcW w:w="418" w:type="pct"/>
            <w:noWrap w:val="0"/>
            <w:vAlign w:val="center"/>
          </w:tcPr>
          <w:p>
            <w:pPr>
              <w:jc w:val="center"/>
              <w:rPr>
                <w:rFonts w:hint="eastAsia" w:ascii="宋体" w:hAnsi="宋体" w:eastAsia="宋体" w:cs="宋体"/>
                <w:szCs w:val="22"/>
              </w:rPr>
            </w:pPr>
            <w:r>
              <w:rPr>
                <w:rFonts w:hint="eastAsia" w:ascii="宋体" w:hAnsi="宋体" w:eastAsia="宋体" w:cs="宋体"/>
                <w:szCs w:val="22"/>
              </w:rPr>
              <w:t>2.01</w:t>
            </w:r>
          </w:p>
        </w:tc>
        <w:tc>
          <w:tcPr>
            <w:tcW w:w="357" w:type="pct"/>
            <w:noWrap w:val="0"/>
            <w:vAlign w:val="center"/>
          </w:tcPr>
          <w:p>
            <w:pPr>
              <w:jc w:val="center"/>
              <w:rPr>
                <w:rFonts w:hint="eastAsia" w:ascii="宋体" w:hAnsi="宋体" w:eastAsia="宋体" w:cs="宋体"/>
                <w:szCs w:val="22"/>
              </w:rPr>
            </w:pPr>
            <w:r>
              <w:rPr>
                <w:rFonts w:hint="eastAsia" w:ascii="宋体" w:hAnsi="宋体" w:eastAsia="宋体" w:cs="宋体"/>
                <w:szCs w:val="22"/>
              </w:rPr>
              <w:t>0.88</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15.33</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34.36</w:t>
            </w:r>
          </w:p>
        </w:tc>
        <w:tc>
          <w:tcPr>
            <w:tcW w:w="402" w:type="pct"/>
            <w:noWrap w:val="0"/>
            <w:vAlign w:val="center"/>
          </w:tcPr>
          <w:p>
            <w:pPr>
              <w:jc w:val="center"/>
              <w:rPr>
                <w:rFonts w:hint="eastAsia" w:ascii="宋体" w:hAnsi="宋体" w:eastAsia="宋体" w:cs="宋体"/>
                <w:szCs w:val="22"/>
              </w:rPr>
            </w:pPr>
            <w:r>
              <w:rPr>
                <w:rFonts w:hint="eastAsia" w:ascii="宋体" w:hAnsi="宋体" w:eastAsia="宋体" w:cs="宋体"/>
                <w:szCs w:val="22"/>
              </w:rPr>
              <w:t>-</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3.25</w:t>
            </w:r>
          </w:p>
        </w:tc>
        <w:tc>
          <w:tcPr>
            <w:tcW w:w="399" w:type="pct"/>
            <w:noWrap w:val="0"/>
            <w:vAlign w:val="center"/>
          </w:tcPr>
          <w:p>
            <w:pPr>
              <w:jc w:val="center"/>
              <w:rPr>
                <w:rFonts w:hint="eastAsia" w:ascii="宋体" w:hAnsi="宋体" w:eastAsia="宋体" w:cs="宋体"/>
                <w:szCs w:val="22"/>
              </w:rPr>
            </w:pPr>
            <w:r>
              <w:rPr>
                <w:rFonts w:hint="eastAsia" w:ascii="宋体" w:hAnsi="宋体" w:eastAsia="宋体" w:cs="宋体"/>
                <w:szCs w:val="22"/>
              </w:rPr>
              <w:t>1.03</w:t>
            </w:r>
          </w:p>
        </w:tc>
        <w:tc>
          <w:tcPr>
            <w:tcW w:w="356" w:type="pct"/>
            <w:noWrap w:val="0"/>
            <w:vAlign w:val="top"/>
          </w:tcPr>
          <w:p>
            <w:pPr>
              <w:jc w:val="center"/>
              <w:rPr>
                <w:rFonts w:hint="eastAsia" w:ascii="宋体" w:hAnsi="宋体" w:eastAsia="宋体" w:cs="宋体"/>
                <w:szCs w:val="22"/>
              </w:rPr>
            </w:pPr>
            <w:r>
              <w:rPr>
                <w:rFonts w:hint="eastAsia" w:ascii="宋体" w:hAnsi="宋体" w:eastAsia="宋体" w:cs="宋体"/>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rFonts w:hint="eastAsia" w:ascii="宋体" w:hAnsi="宋体" w:eastAsia="宋体" w:cs="宋体"/>
                <w:szCs w:val="22"/>
              </w:rPr>
            </w:pPr>
            <w:r>
              <w:rPr>
                <w:rFonts w:hint="eastAsia" w:ascii="宋体" w:hAnsi="宋体" w:eastAsia="宋体" w:cs="宋体"/>
                <w:szCs w:val="22"/>
              </w:rPr>
              <w:t>3</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6.99</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56.72</w:t>
            </w:r>
          </w:p>
        </w:tc>
        <w:tc>
          <w:tcPr>
            <w:tcW w:w="399" w:type="pct"/>
            <w:noWrap w:val="0"/>
            <w:vAlign w:val="top"/>
          </w:tcPr>
          <w:p>
            <w:pPr>
              <w:jc w:val="center"/>
              <w:rPr>
                <w:rFonts w:hint="eastAsia" w:ascii="宋体" w:hAnsi="宋体" w:eastAsia="宋体" w:cs="宋体"/>
                <w:szCs w:val="22"/>
              </w:rPr>
            </w:pPr>
            <w:r>
              <w:rPr>
                <w:rFonts w:hint="eastAsia" w:ascii="宋体" w:hAnsi="宋体" w:eastAsia="宋体" w:cs="宋体"/>
                <w:szCs w:val="22"/>
              </w:rPr>
              <w:t>-</w:t>
            </w:r>
          </w:p>
        </w:tc>
        <w:tc>
          <w:tcPr>
            <w:tcW w:w="418" w:type="pct"/>
            <w:noWrap w:val="0"/>
            <w:vAlign w:val="center"/>
          </w:tcPr>
          <w:p>
            <w:pPr>
              <w:jc w:val="center"/>
              <w:rPr>
                <w:rFonts w:hint="eastAsia" w:ascii="宋体" w:hAnsi="宋体" w:eastAsia="宋体" w:cs="宋体"/>
                <w:szCs w:val="22"/>
              </w:rPr>
            </w:pPr>
            <w:r>
              <w:rPr>
                <w:rFonts w:hint="eastAsia" w:ascii="宋体" w:hAnsi="宋体" w:eastAsia="宋体" w:cs="宋体"/>
                <w:szCs w:val="22"/>
              </w:rPr>
              <w:t>1.65</w:t>
            </w:r>
          </w:p>
        </w:tc>
        <w:tc>
          <w:tcPr>
            <w:tcW w:w="357" w:type="pct"/>
            <w:noWrap w:val="0"/>
            <w:vAlign w:val="center"/>
          </w:tcPr>
          <w:p>
            <w:pPr>
              <w:jc w:val="center"/>
              <w:rPr>
                <w:rFonts w:hint="eastAsia" w:ascii="宋体" w:hAnsi="宋体" w:eastAsia="宋体" w:cs="宋体"/>
                <w:szCs w:val="22"/>
              </w:rPr>
            </w:pPr>
            <w:r>
              <w:rPr>
                <w:rFonts w:hint="eastAsia" w:ascii="宋体" w:hAnsi="宋体" w:eastAsia="宋体" w:cs="宋体"/>
                <w:szCs w:val="22"/>
              </w:rPr>
              <w:t>0.77</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13.07</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30.14</w:t>
            </w:r>
          </w:p>
        </w:tc>
        <w:tc>
          <w:tcPr>
            <w:tcW w:w="402" w:type="pct"/>
            <w:noWrap w:val="0"/>
            <w:vAlign w:val="center"/>
          </w:tcPr>
          <w:p>
            <w:pPr>
              <w:jc w:val="center"/>
              <w:rPr>
                <w:rFonts w:hint="eastAsia" w:ascii="宋体" w:hAnsi="宋体" w:eastAsia="宋体" w:cs="宋体"/>
                <w:szCs w:val="22"/>
              </w:rPr>
            </w:pPr>
            <w:r>
              <w:rPr>
                <w:rFonts w:hint="eastAsia" w:ascii="宋体" w:hAnsi="宋体" w:eastAsia="宋体" w:cs="宋体"/>
                <w:szCs w:val="22"/>
              </w:rPr>
              <w:t>-</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4.49</w:t>
            </w:r>
          </w:p>
        </w:tc>
        <w:tc>
          <w:tcPr>
            <w:tcW w:w="399" w:type="pct"/>
            <w:noWrap w:val="0"/>
            <w:vAlign w:val="center"/>
          </w:tcPr>
          <w:p>
            <w:pPr>
              <w:jc w:val="center"/>
              <w:rPr>
                <w:rFonts w:hint="eastAsia" w:ascii="宋体" w:hAnsi="宋体" w:eastAsia="宋体" w:cs="宋体"/>
                <w:szCs w:val="22"/>
              </w:rPr>
            </w:pPr>
            <w:r>
              <w:rPr>
                <w:rFonts w:hint="eastAsia" w:ascii="宋体" w:hAnsi="宋体" w:eastAsia="宋体" w:cs="宋体"/>
                <w:szCs w:val="22"/>
              </w:rPr>
              <w:t>0.97</w:t>
            </w:r>
          </w:p>
        </w:tc>
        <w:tc>
          <w:tcPr>
            <w:tcW w:w="356" w:type="pct"/>
            <w:noWrap w:val="0"/>
            <w:vAlign w:val="top"/>
          </w:tcPr>
          <w:p>
            <w:pPr>
              <w:jc w:val="center"/>
              <w:rPr>
                <w:rFonts w:hint="eastAsia" w:ascii="宋体" w:hAnsi="宋体" w:eastAsia="宋体" w:cs="宋体"/>
                <w:szCs w:val="22"/>
              </w:rPr>
            </w:pPr>
            <w:r>
              <w:rPr>
                <w:rFonts w:hint="eastAsia" w:ascii="宋体" w:hAnsi="宋体" w:eastAsia="宋体" w:cs="宋体"/>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rFonts w:hint="eastAsia" w:ascii="宋体" w:hAnsi="宋体" w:eastAsia="宋体" w:cs="宋体"/>
                <w:szCs w:val="22"/>
              </w:rPr>
            </w:pPr>
            <w:r>
              <w:rPr>
                <w:rFonts w:hint="eastAsia" w:ascii="宋体" w:hAnsi="宋体" w:eastAsia="宋体" w:cs="宋体"/>
                <w:szCs w:val="22"/>
              </w:rPr>
              <w:t>4</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9.10</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44.74</w:t>
            </w:r>
          </w:p>
        </w:tc>
        <w:tc>
          <w:tcPr>
            <w:tcW w:w="399" w:type="pct"/>
            <w:noWrap w:val="0"/>
            <w:vAlign w:val="top"/>
          </w:tcPr>
          <w:p>
            <w:pPr>
              <w:jc w:val="center"/>
              <w:rPr>
                <w:rFonts w:hint="eastAsia" w:ascii="宋体" w:hAnsi="宋体" w:eastAsia="宋体" w:cs="宋体"/>
                <w:szCs w:val="22"/>
              </w:rPr>
            </w:pPr>
            <w:r>
              <w:rPr>
                <w:rFonts w:hint="eastAsia" w:ascii="宋体" w:hAnsi="宋体" w:eastAsia="宋体" w:cs="宋体"/>
                <w:szCs w:val="22"/>
              </w:rPr>
              <w:t>1.74</w:t>
            </w:r>
          </w:p>
        </w:tc>
        <w:tc>
          <w:tcPr>
            <w:tcW w:w="418" w:type="pct"/>
            <w:noWrap w:val="0"/>
            <w:vAlign w:val="center"/>
          </w:tcPr>
          <w:p>
            <w:pPr>
              <w:jc w:val="center"/>
              <w:rPr>
                <w:rFonts w:hint="eastAsia" w:ascii="宋体" w:hAnsi="宋体" w:eastAsia="宋体" w:cs="宋体"/>
                <w:szCs w:val="22"/>
              </w:rPr>
            </w:pPr>
            <w:r>
              <w:rPr>
                <w:rFonts w:hint="eastAsia" w:ascii="宋体" w:hAnsi="宋体" w:eastAsia="宋体" w:cs="宋体"/>
                <w:szCs w:val="22"/>
              </w:rPr>
              <w:t>1.72</w:t>
            </w:r>
          </w:p>
        </w:tc>
        <w:tc>
          <w:tcPr>
            <w:tcW w:w="357" w:type="pct"/>
            <w:noWrap w:val="0"/>
            <w:vAlign w:val="center"/>
          </w:tcPr>
          <w:p>
            <w:pPr>
              <w:jc w:val="center"/>
              <w:rPr>
                <w:rFonts w:hint="eastAsia" w:ascii="宋体" w:hAnsi="宋体" w:eastAsia="宋体" w:cs="宋体"/>
                <w:szCs w:val="22"/>
              </w:rPr>
            </w:pPr>
            <w:r>
              <w:rPr>
                <w:rFonts w:hint="eastAsia" w:ascii="宋体" w:hAnsi="宋体" w:eastAsia="宋体" w:cs="宋体"/>
                <w:szCs w:val="22"/>
              </w:rPr>
              <w:t>0.64</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10.74</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26.39</w:t>
            </w:r>
          </w:p>
        </w:tc>
        <w:tc>
          <w:tcPr>
            <w:tcW w:w="402" w:type="pct"/>
            <w:noWrap w:val="0"/>
            <w:vAlign w:val="center"/>
          </w:tcPr>
          <w:p>
            <w:pPr>
              <w:jc w:val="center"/>
              <w:rPr>
                <w:rFonts w:hint="eastAsia" w:ascii="宋体" w:hAnsi="宋体" w:eastAsia="宋体" w:cs="宋体"/>
                <w:szCs w:val="22"/>
              </w:rPr>
            </w:pPr>
            <w:r>
              <w:rPr>
                <w:rFonts w:hint="eastAsia" w:ascii="宋体" w:hAnsi="宋体" w:eastAsia="宋体" w:cs="宋体"/>
                <w:szCs w:val="22"/>
              </w:rPr>
              <w:t>0.72</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2.73</w:t>
            </w:r>
          </w:p>
        </w:tc>
        <w:tc>
          <w:tcPr>
            <w:tcW w:w="399" w:type="pct"/>
            <w:noWrap w:val="0"/>
            <w:vAlign w:val="center"/>
          </w:tcPr>
          <w:p>
            <w:pPr>
              <w:jc w:val="center"/>
              <w:rPr>
                <w:rFonts w:hint="eastAsia" w:ascii="宋体" w:hAnsi="宋体" w:eastAsia="宋体" w:cs="宋体"/>
                <w:szCs w:val="22"/>
              </w:rPr>
            </w:pPr>
            <w:r>
              <w:rPr>
                <w:rFonts w:hint="eastAsia" w:ascii="宋体" w:hAnsi="宋体" w:eastAsia="宋体" w:cs="宋体"/>
                <w:szCs w:val="22"/>
              </w:rPr>
              <w:t>0.97</w:t>
            </w:r>
          </w:p>
        </w:tc>
        <w:tc>
          <w:tcPr>
            <w:tcW w:w="356" w:type="pct"/>
            <w:noWrap w:val="0"/>
            <w:vAlign w:val="top"/>
          </w:tcPr>
          <w:p>
            <w:pPr>
              <w:jc w:val="center"/>
              <w:rPr>
                <w:rFonts w:hint="eastAsia" w:ascii="宋体" w:hAnsi="宋体" w:eastAsia="宋体" w:cs="宋体"/>
                <w:szCs w:val="22"/>
              </w:rPr>
            </w:pPr>
            <w:r>
              <w:rPr>
                <w:rFonts w:hint="eastAsia" w:ascii="宋体" w:hAnsi="宋体" w:eastAsia="宋体" w:cs="宋体"/>
                <w:szCs w:val="22"/>
              </w:rPr>
              <w:t>0.51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rFonts w:hint="eastAsia" w:ascii="宋体" w:hAnsi="宋体" w:eastAsia="宋体" w:cs="宋体"/>
                <w:szCs w:val="22"/>
              </w:rPr>
            </w:pPr>
            <w:r>
              <w:rPr>
                <w:rFonts w:hint="eastAsia" w:ascii="宋体" w:hAnsi="宋体" w:eastAsia="宋体" w:cs="宋体"/>
                <w:szCs w:val="22"/>
              </w:rPr>
              <w:t>5</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9.81</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46.08</w:t>
            </w:r>
          </w:p>
        </w:tc>
        <w:tc>
          <w:tcPr>
            <w:tcW w:w="399" w:type="pct"/>
            <w:noWrap w:val="0"/>
            <w:vAlign w:val="top"/>
          </w:tcPr>
          <w:p>
            <w:pPr>
              <w:jc w:val="center"/>
              <w:rPr>
                <w:rFonts w:hint="eastAsia" w:ascii="宋体" w:hAnsi="宋体" w:eastAsia="宋体" w:cs="宋体"/>
                <w:szCs w:val="22"/>
              </w:rPr>
            </w:pPr>
            <w:r>
              <w:rPr>
                <w:rFonts w:hint="eastAsia" w:ascii="宋体" w:hAnsi="宋体" w:eastAsia="宋体" w:cs="宋体"/>
                <w:szCs w:val="22"/>
              </w:rPr>
              <w:t>1.97</w:t>
            </w:r>
          </w:p>
        </w:tc>
        <w:tc>
          <w:tcPr>
            <w:tcW w:w="418" w:type="pct"/>
            <w:noWrap w:val="0"/>
            <w:vAlign w:val="center"/>
          </w:tcPr>
          <w:p>
            <w:pPr>
              <w:jc w:val="center"/>
              <w:rPr>
                <w:rFonts w:hint="eastAsia" w:ascii="宋体" w:hAnsi="宋体" w:eastAsia="宋体" w:cs="宋体"/>
                <w:szCs w:val="22"/>
              </w:rPr>
            </w:pPr>
            <w:r>
              <w:rPr>
                <w:rFonts w:hint="eastAsia" w:ascii="宋体" w:hAnsi="宋体" w:eastAsia="宋体" w:cs="宋体"/>
                <w:szCs w:val="22"/>
              </w:rPr>
              <w:t>1.20</w:t>
            </w:r>
          </w:p>
        </w:tc>
        <w:tc>
          <w:tcPr>
            <w:tcW w:w="357" w:type="pct"/>
            <w:noWrap w:val="0"/>
            <w:vAlign w:val="center"/>
          </w:tcPr>
          <w:p>
            <w:pPr>
              <w:jc w:val="center"/>
              <w:rPr>
                <w:rFonts w:hint="eastAsia" w:ascii="宋体" w:hAnsi="宋体" w:eastAsia="宋体" w:cs="宋体"/>
                <w:szCs w:val="22"/>
              </w:rPr>
            </w:pPr>
            <w:r>
              <w:rPr>
                <w:rFonts w:hint="eastAsia" w:ascii="宋体" w:hAnsi="宋体" w:eastAsia="宋体" w:cs="宋体"/>
                <w:szCs w:val="22"/>
              </w:rPr>
              <w:t>0.64</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9.64</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25.52</w:t>
            </w:r>
          </w:p>
        </w:tc>
        <w:tc>
          <w:tcPr>
            <w:tcW w:w="402" w:type="pct"/>
            <w:noWrap w:val="0"/>
            <w:vAlign w:val="center"/>
          </w:tcPr>
          <w:p>
            <w:pPr>
              <w:jc w:val="center"/>
              <w:rPr>
                <w:rFonts w:hint="eastAsia" w:ascii="宋体" w:hAnsi="宋体" w:eastAsia="宋体" w:cs="宋体"/>
                <w:szCs w:val="22"/>
              </w:rPr>
            </w:pPr>
            <w:r>
              <w:rPr>
                <w:rFonts w:hint="eastAsia" w:ascii="宋体" w:hAnsi="宋体" w:eastAsia="宋体" w:cs="宋体"/>
                <w:szCs w:val="22"/>
              </w:rPr>
              <w:t>0.60</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3.06</w:t>
            </w:r>
          </w:p>
        </w:tc>
        <w:tc>
          <w:tcPr>
            <w:tcW w:w="399" w:type="pct"/>
            <w:noWrap w:val="0"/>
            <w:vAlign w:val="center"/>
          </w:tcPr>
          <w:p>
            <w:pPr>
              <w:jc w:val="center"/>
              <w:rPr>
                <w:rFonts w:hint="eastAsia" w:ascii="宋体" w:hAnsi="宋体" w:eastAsia="宋体" w:cs="宋体"/>
                <w:szCs w:val="22"/>
              </w:rPr>
            </w:pPr>
            <w:r>
              <w:rPr>
                <w:rFonts w:hint="eastAsia" w:ascii="宋体" w:hAnsi="宋体" w:eastAsia="宋体" w:cs="宋体"/>
                <w:szCs w:val="22"/>
              </w:rPr>
              <w:t>0.92</w:t>
            </w:r>
          </w:p>
        </w:tc>
        <w:tc>
          <w:tcPr>
            <w:tcW w:w="356" w:type="pct"/>
            <w:noWrap w:val="0"/>
            <w:vAlign w:val="top"/>
          </w:tcPr>
          <w:p>
            <w:pPr>
              <w:jc w:val="center"/>
              <w:rPr>
                <w:rFonts w:hint="eastAsia" w:ascii="宋体" w:hAnsi="宋体" w:eastAsia="宋体" w:cs="宋体"/>
                <w:szCs w:val="22"/>
              </w:rPr>
            </w:pPr>
            <w:r>
              <w:rPr>
                <w:rFonts w:hint="eastAsia" w:ascii="宋体" w:hAnsi="宋体" w:eastAsia="宋体" w:cs="宋体"/>
                <w:szCs w:val="22"/>
              </w:rPr>
              <w:t>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rFonts w:hint="eastAsia" w:ascii="宋体" w:hAnsi="宋体" w:eastAsia="宋体" w:cs="宋体"/>
                <w:szCs w:val="22"/>
              </w:rPr>
            </w:pPr>
            <w:r>
              <w:rPr>
                <w:rFonts w:hint="eastAsia" w:ascii="宋体" w:hAnsi="宋体" w:eastAsia="宋体" w:cs="宋体"/>
                <w:szCs w:val="22"/>
              </w:rPr>
              <w:t>6</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12.03</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39.21</w:t>
            </w:r>
          </w:p>
        </w:tc>
        <w:tc>
          <w:tcPr>
            <w:tcW w:w="399" w:type="pct"/>
            <w:noWrap w:val="0"/>
            <w:vAlign w:val="top"/>
          </w:tcPr>
          <w:p>
            <w:pPr>
              <w:jc w:val="center"/>
              <w:rPr>
                <w:rFonts w:hint="eastAsia" w:ascii="宋体" w:hAnsi="宋体" w:eastAsia="宋体" w:cs="宋体"/>
                <w:szCs w:val="22"/>
              </w:rPr>
            </w:pPr>
            <w:r>
              <w:rPr>
                <w:rFonts w:hint="eastAsia" w:ascii="宋体" w:hAnsi="宋体" w:eastAsia="宋体" w:cs="宋体"/>
                <w:szCs w:val="22"/>
              </w:rPr>
              <w:t>2.75</w:t>
            </w:r>
          </w:p>
        </w:tc>
        <w:tc>
          <w:tcPr>
            <w:tcW w:w="418" w:type="pct"/>
            <w:noWrap w:val="0"/>
            <w:vAlign w:val="center"/>
          </w:tcPr>
          <w:p>
            <w:pPr>
              <w:jc w:val="center"/>
              <w:rPr>
                <w:rFonts w:hint="eastAsia" w:ascii="宋体" w:hAnsi="宋体" w:eastAsia="宋体" w:cs="宋体"/>
                <w:szCs w:val="22"/>
              </w:rPr>
            </w:pPr>
            <w:r>
              <w:rPr>
                <w:rFonts w:hint="eastAsia" w:ascii="宋体" w:hAnsi="宋体" w:eastAsia="宋体" w:cs="宋体"/>
                <w:szCs w:val="22"/>
              </w:rPr>
              <w:t>1.34</w:t>
            </w:r>
          </w:p>
        </w:tc>
        <w:tc>
          <w:tcPr>
            <w:tcW w:w="357" w:type="pct"/>
            <w:noWrap w:val="0"/>
            <w:vAlign w:val="center"/>
          </w:tcPr>
          <w:p>
            <w:pPr>
              <w:jc w:val="center"/>
              <w:rPr>
                <w:rFonts w:hint="eastAsia" w:ascii="宋体" w:hAnsi="宋体" w:eastAsia="宋体" w:cs="宋体"/>
                <w:szCs w:val="22"/>
              </w:rPr>
            </w:pPr>
            <w:r>
              <w:rPr>
                <w:rFonts w:hint="eastAsia" w:ascii="宋体" w:hAnsi="宋体" w:eastAsia="宋体" w:cs="宋体"/>
                <w:szCs w:val="22"/>
              </w:rPr>
              <w:t>0.62</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10.91</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28.43</w:t>
            </w:r>
          </w:p>
        </w:tc>
        <w:tc>
          <w:tcPr>
            <w:tcW w:w="402" w:type="pct"/>
            <w:noWrap w:val="0"/>
            <w:vAlign w:val="center"/>
          </w:tcPr>
          <w:p>
            <w:pPr>
              <w:jc w:val="center"/>
              <w:rPr>
                <w:rFonts w:hint="eastAsia" w:ascii="宋体" w:hAnsi="宋体" w:eastAsia="宋体" w:cs="宋体"/>
                <w:szCs w:val="22"/>
              </w:rPr>
            </w:pPr>
            <w:r>
              <w:rPr>
                <w:rFonts w:hint="eastAsia" w:ascii="宋体" w:hAnsi="宋体" w:eastAsia="宋体" w:cs="宋体"/>
                <w:szCs w:val="22"/>
              </w:rPr>
              <w:t>-</w:t>
            </w:r>
          </w:p>
        </w:tc>
        <w:tc>
          <w:tcPr>
            <w:tcW w:w="425" w:type="pct"/>
            <w:noWrap w:val="0"/>
            <w:vAlign w:val="center"/>
          </w:tcPr>
          <w:p>
            <w:pPr>
              <w:jc w:val="center"/>
              <w:rPr>
                <w:rFonts w:hint="eastAsia" w:ascii="宋体" w:hAnsi="宋体" w:eastAsia="宋体" w:cs="宋体"/>
                <w:szCs w:val="22"/>
              </w:rPr>
            </w:pPr>
            <w:r>
              <w:rPr>
                <w:rFonts w:hint="eastAsia" w:ascii="宋体" w:hAnsi="宋体" w:eastAsia="宋体" w:cs="宋体"/>
                <w:szCs w:val="22"/>
              </w:rPr>
              <w:t>3.93</w:t>
            </w:r>
          </w:p>
        </w:tc>
        <w:tc>
          <w:tcPr>
            <w:tcW w:w="399" w:type="pct"/>
            <w:noWrap w:val="0"/>
            <w:vAlign w:val="center"/>
          </w:tcPr>
          <w:p>
            <w:pPr>
              <w:jc w:val="center"/>
              <w:rPr>
                <w:rFonts w:hint="eastAsia" w:ascii="宋体" w:hAnsi="宋体" w:eastAsia="宋体" w:cs="宋体"/>
                <w:szCs w:val="22"/>
              </w:rPr>
            </w:pPr>
            <w:r>
              <w:rPr>
                <w:rFonts w:hint="eastAsia" w:ascii="宋体" w:hAnsi="宋体" w:eastAsia="宋体" w:cs="宋体"/>
                <w:szCs w:val="22"/>
              </w:rPr>
              <w:t>0.79</w:t>
            </w:r>
          </w:p>
        </w:tc>
        <w:tc>
          <w:tcPr>
            <w:tcW w:w="356" w:type="pct"/>
            <w:noWrap w:val="0"/>
            <w:vAlign w:val="top"/>
          </w:tcPr>
          <w:p>
            <w:pPr>
              <w:jc w:val="center"/>
              <w:rPr>
                <w:rFonts w:hint="eastAsia" w:ascii="宋体" w:hAnsi="宋体" w:eastAsia="宋体" w:cs="宋体"/>
                <w:szCs w:val="22"/>
              </w:rPr>
            </w:pPr>
            <w:r>
              <w:rPr>
                <w:rFonts w:hint="eastAsia" w:ascii="宋体" w:hAnsi="宋体" w:eastAsia="宋体" w:cs="宋体"/>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rFonts w:hint="eastAsia" w:ascii="宋体" w:hAnsi="宋体" w:eastAsia="宋体" w:cs="宋体"/>
                <w:szCs w:val="22"/>
              </w:rPr>
            </w:pPr>
            <w:r>
              <w:rPr>
                <w:rFonts w:hint="eastAsia" w:ascii="宋体" w:hAnsi="宋体" w:eastAsia="宋体" w:cs="宋体"/>
                <w:szCs w:val="22"/>
              </w:rPr>
              <w:t>7</w:t>
            </w:r>
          </w:p>
        </w:tc>
        <w:tc>
          <w:tcPr>
            <w:tcW w:w="425"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11.56</w:t>
            </w:r>
          </w:p>
        </w:tc>
        <w:tc>
          <w:tcPr>
            <w:tcW w:w="425"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17.91</w:t>
            </w:r>
          </w:p>
        </w:tc>
        <w:tc>
          <w:tcPr>
            <w:tcW w:w="399" w:type="pct"/>
            <w:tcBorders>
              <w:bottom w:val="single" w:color="auto" w:sz="4" w:space="0"/>
            </w:tcBorders>
            <w:noWrap w:val="0"/>
            <w:vAlign w:val="top"/>
          </w:tcPr>
          <w:p>
            <w:pPr>
              <w:jc w:val="center"/>
              <w:rPr>
                <w:rFonts w:hint="eastAsia" w:ascii="宋体" w:hAnsi="宋体" w:eastAsia="宋体" w:cs="宋体"/>
                <w:szCs w:val="22"/>
              </w:rPr>
            </w:pPr>
            <w:r>
              <w:rPr>
                <w:rFonts w:hint="eastAsia" w:ascii="宋体" w:hAnsi="宋体" w:eastAsia="宋体" w:cs="宋体"/>
                <w:szCs w:val="22"/>
              </w:rPr>
              <w:t>-</w:t>
            </w:r>
          </w:p>
        </w:tc>
        <w:tc>
          <w:tcPr>
            <w:tcW w:w="418"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2.63</w:t>
            </w:r>
          </w:p>
        </w:tc>
        <w:tc>
          <w:tcPr>
            <w:tcW w:w="357"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0.85</w:t>
            </w:r>
          </w:p>
        </w:tc>
        <w:tc>
          <w:tcPr>
            <w:tcW w:w="425"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13.37</w:t>
            </w:r>
          </w:p>
        </w:tc>
        <w:tc>
          <w:tcPr>
            <w:tcW w:w="425"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28.32</w:t>
            </w:r>
          </w:p>
        </w:tc>
        <w:tc>
          <w:tcPr>
            <w:tcW w:w="402"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w:t>
            </w:r>
          </w:p>
        </w:tc>
        <w:tc>
          <w:tcPr>
            <w:tcW w:w="425"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20.14</w:t>
            </w:r>
          </w:p>
        </w:tc>
        <w:tc>
          <w:tcPr>
            <w:tcW w:w="399" w:type="pct"/>
            <w:tcBorders>
              <w:bottom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2.90</w:t>
            </w:r>
          </w:p>
        </w:tc>
        <w:tc>
          <w:tcPr>
            <w:tcW w:w="356" w:type="pct"/>
            <w:tcBorders>
              <w:bottom w:val="single" w:color="auto" w:sz="4" w:space="0"/>
            </w:tcBorders>
            <w:noWrap w:val="0"/>
            <w:vAlign w:val="top"/>
          </w:tcPr>
          <w:p>
            <w:pPr>
              <w:jc w:val="center"/>
              <w:rPr>
                <w:rFonts w:hint="eastAsia" w:ascii="宋体" w:hAnsi="宋体" w:eastAsia="宋体" w:cs="宋体"/>
                <w:szCs w:val="22"/>
              </w:rPr>
            </w:pPr>
            <w:r>
              <w:rPr>
                <w:rFonts w:hint="eastAsia" w:ascii="宋体" w:hAnsi="宋体" w:eastAsia="宋体" w:cs="宋体"/>
                <w:szCs w:val="22"/>
              </w:rPr>
              <w:t>2.32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rFonts w:hint="eastAsia" w:ascii="宋体" w:hAnsi="宋体" w:eastAsia="宋体" w:cs="宋体"/>
                <w:szCs w:val="22"/>
              </w:rPr>
            </w:pPr>
            <w:r>
              <w:rPr>
                <w:rFonts w:hint="eastAsia" w:ascii="宋体" w:hAnsi="宋体" w:eastAsia="宋体" w:cs="宋体"/>
                <w:szCs w:val="22"/>
              </w:rPr>
              <w:t>平均</w:t>
            </w:r>
          </w:p>
        </w:tc>
        <w:tc>
          <w:tcPr>
            <w:tcW w:w="425" w:type="pct"/>
            <w:tcBorders>
              <w:top w:val="single" w:color="auto" w:sz="4" w:space="0"/>
              <w:left w:val="nil"/>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9.07</w:t>
            </w:r>
          </w:p>
        </w:tc>
        <w:tc>
          <w:tcPr>
            <w:tcW w:w="425"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39.40</w:t>
            </w:r>
          </w:p>
        </w:tc>
        <w:tc>
          <w:tcPr>
            <w:tcW w:w="399"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2.04</w:t>
            </w:r>
          </w:p>
        </w:tc>
        <w:tc>
          <w:tcPr>
            <w:tcW w:w="418"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1.74</w:t>
            </w:r>
          </w:p>
        </w:tc>
        <w:tc>
          <w:tcPr>
            <w:tcW w:w="357"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0.75</w:t>
            </w:r>
          </w:p>
        </w:tc>
        <w:tc>
          <w:tcPr>
            <w:tcW w:w="425"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12.39</w:t>
            </w:r>
          </w:p>
        </w:tc>
        <w:tc>
          <w:tcPr>
            <w:tcW w:w="425"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29.35</w:t>
            </w:r>
          </w:p>
        </w:tc>
        <w:tc>
          <w:tcPr>
            <w:tcW w:w="402"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0.71</w:t>
            </w:r>
          </w:p>
        </w:tc>
        <w:tc>
          <w:tcPr>
            <w:tcW w:w="425"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5.95</w:t>
            </w:r>
          </w:p>
        </w:tc>
        <w:tc>
          <w:tcPr>
            <w:tcW w:w="399"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1.26</w:t>
            </w:r>
          </w:p>
        </w:tc>
        <w:tc>
          <w:tcPr>
            <w:tcW w:w="356" w:type="pct"/>
            <w:tcBorders>
              <w:top w:val="single" w:color="auto" w:sz="4" w:space="0"/>
              <w:left w:val="single" w:color="auto" w:sz="4" w:space="0"/>
              <w:bottom w:val="single" w:color="auto" w:sz="4" w:space="0"/>
              <w:right w:val="single" w:color="auto" w:sz="4" w:space="0"/>
            </w:tcBorders>
            <w:noWrap w:val="0"/>
            <w:vAlign w:val="center"/>
          </w:tcPr>
          <w:p>
            <w:pPr>
              <w:jc w:val="center"/>
              <w:rPr>
                <w:rFonts w:hint="eastAsia" w:ascii="宋体" w:hAnsi="宋体" w:eastAsia="宋体" w:cs="宋体"/>
                <w:szCs w:val="22"/>
              </w:rPr>
            </w:pPr>
            <w:r>
              <w:rPr>
                <w:rFonts w:hint="eastAsia" w:ascii="宋体" w:hAnsi="宋体" w:eastAsia="宋体" w:cs="宋体"/>
                <w:szCs w:val="22"/>
              </w:rPr>
              <w:t>1.29</w:t>
            </w:r>
          </w:p>
        </w:tc>
      </w:tr>
    </w:tbl>
    <w:p>
      <w:pPr>
        <w:jc w:val="center"/>
        <w:rPr>
          <w:rFonts w:hint="eastAsia"/>
          <w:sz w:val="24"/>
        </w:rPr>
      </w:pPr>
      <w:r>
        <w:rPr>
          <w:rFonts w:hint="eastAsia" w:ascii="宋体" w:hAnsi="宋体" w:eastAsia="宋体" w:cs="宋体"/>
        </w:rPr>
        <w:t>表1 粒径小于74μm含铬钢渣（1#样品）EDS分析</w:t>
      </w:r>
    </w:p>
    <w:p>
      <w:pPr>
        <w:spacing w:line="440" w:lineRule="exact"/>
        <w:ind w:firstLine="480" w:firstLineChars="200"/>
        <w:rPr>
          <w:rFonts w:hint="eastAsia"/>
          <w:sz w:val="24"/>
        </w:rPr>
      </w:pPr>
      <w:r>
        <w:rPr>
          <w:rFonts w:hint="eastAsia"/>
          <w:sz w:val="24"/>
        </w:rPr>
        <w:t>图</w:t>
      </w:r>
      <w:r>
        <w:rPr>
          <w:rFonts w:hint="eastAsia"/>
          <w:sz w:val="24"/>
          <w:lang w:val="en-US" w:eastAsia="zh-CN"/>
        </w:rPr>
        <w:t>9</w:t>
      </w:r>
      <w:r>
        <w:rPr>
          <w:rFonts w:hint="eastAsia"/>
          <w:sz w:val="24"/>
        </w:rPr>
        <w:t>为粒径小于74μm含铬钢渣（1#样品）的XRD曲线。如图</w:t>
      </w:r>
      <w:r>
        <w:rPr>
          <w:rFonts w:hint="eastAsia"/>
          <w:sz w:val="24"/>
          <w:lang w:val="en-US" w:eastAsia="zh-CN"/>
        </w:rPr>
        <w:t>9</w:t>
      </w:r>
      <w:r>
        <w:rPr>
          <w:rFonts w:hint="eastAsia"/>
          <w:sz w:val="24"/>
        </w:rPr>
        <w:t>所示，钢渣中元素多已非晶态形式存在，这与钢渣的冷却方式有关。渣中晶体以钙铝硅酸盐（Ca</w:t>
      </w:r>
      <w:r>
        <w:rPr>
          <w:sz w:val="24"/>
          <w:vertAlign w:val="subscript"/>
        </w:rPr>
        <w:t>2</w:t>
      </w:r>
      <w:r>
        <w:rPr>
          <w:rFonts w:hint="eastAsia"/>
          <w:sz w:val="24"/>
        </w:rPr>
        <w:t>Al(</w:t>
      </w:r>
      <w:r>
        <w:rPr>
          <w:sz w:val="24"/>
        </w:rPr>
        <w:t>AlSiO</w:t>
      </w:r>
      <w:r>
        <w:rPr>
          <w:sz w:val="24"/>
          <w:vertAlign w:val="subscript"/>
        </w:rPr>
        <w:t>7</w:t>
      </w:r>
      <w:r>
        <w:rPr>
          <w:sz w:val="24"/>
        </w:rPr>
        <w:t>)</w:t>
      </w:r>
      <w:r>
        <w:rPr>
          <w:rFonts w:hint="eastAsia"/>
          <w:sz w:val="24"/>
        </w:rPr>
        <w:t>）形态为主。</w:t>
      </w:r>
    </w:p>
    <w:p>
      <w:pPr>
        <w:spacing w:line="440" w:lineRule="exact"/>
        <w:jc w:val="center"/>
        <w:rPr>
          <w:rFonts w:hint="eastAsia"/>
        </w:rPr>
      </w:pPr>
      <w:r>
        <w:drawing>
          <wp:anchor distT="0" distB="0" distL="114300" distR="114300" simplePos="0" relativeHeight="251659264" behindDoc="0" locked="0" layoutInCell="1" allowOverlap="1">
            <wp:simplePos x="0" y="0"/>
            <wp:positionH relativeFrom="column">
              <wp:posOffset>-4445</wp:posOffset>
            </wp:positionH>
            <wp:positionV relativeFrom="paragraph">
              <wp:posOffset>109855</wp:posOffset>
            </wp:positionV>
            <wp:extent cx="5469890" cy="3865245"/>
            <wp:effectExtent l="0" t="0" r="3810" b="8255"/>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4"/>
                    <a:stretch>
                      <a:fillRect/>
                    </a:stretch>
                  </pic:blipFill>
                  <pic:spPr>
                    <a:xfrm>
                      <a:off x="0" y="0"/>
                      <a:ext cx="5469890" cy="3865245"/>
                    </a:xfrm>
                    <a:prstGeom prst="rect">
                      <a:avLst/>
                    </a:prstGeom>
                    <a:noFill/>
                    <a:ln>
                      <a:noFill/>
                    </a:ln>
                  </pic:spPr>
                </pic:pic>
              </a:graphicData>
            </a:graphic>
          </wp:anchor>
        </w:drawing>
      </w:r>
      <w:r>
        <w:rPr>
          <w:rFonts w:hint="eastAsia"/>
          <w:sz w:val="24"/>
        </w:rPr>
        <w:t>图</w:t>
      </w:r>
      <w:r>
        <w:rPr>
          <w:rFonts w:hint="eastAsia"/>
          <w:sz w:val="24"/>
          <w:lang w:val="en-US" w:eastAsia="zh-CN"/>
        </w:rPr>
        <w:t>9</w:t>
      </w:r>
      <w:r>
        <w:t>粒径小于74μm含铬钢渣（1#样品）</w:t>
      </w:r>
      <w:r>
        <w:rPr>
          <w:rFonts w:hint="eastAsia"/>
        </w:rPr>
        <w:t>XRD曲线</w:t>
      </w:r>
    </w:p>
    <w:p>
      <w:pPr>
        <w:ind w:firstLine="420"/>
        <w:rPr>
          <w:rFonts w:hint="eastAsia" w:ascii="宋体" w:hAnsi="宋体" w:eastAsia="宋体" w:cs="宋体"/>
          <w:sz w:val="24"/>
          <w:szCs w:val="24"/>
        </w:rPr>
      </w:pPr>
      <w:r>
        <w:rPr>
          <w:rFonts w:hint="eastAsia" w:ascii="宋体" w:hAnsi="宋体" w:eastAsia="宋体" w:cs="宋体"/>
          <w:sz w:val="24"/>
          <w:szCs w:val="24"/>
        </w:rPr>
        <w:t>经过粉碎和筛分，钢渣被分为粒径大于74μm和小于74μm两种。粒径大于74μm的钢渣微观形貌见于图10，可以看出其颗粒呈不规则形状，没有明显的晶体结构。使用EDS技术对不同样品颗粒进行分析（详见表2），发现钢渣中的主要化学元素为C、O、Si、Ca和Cr，其中Cr的含量范围为3.53~5.56%，这部分钢渣可以回收利用。</w:t>
      </w:r>
    </w:p>
    <w:p>
      <w:pPr>
        <w:spacing w:line="440" w:lineRule="exact"/>
        <w:jc w:val="both"/>
        <w:rPr>
          <w:rFonts w:hint="eastAsi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w w:val="110"/>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r>
        <w:rPr>
          <w:rFonts w:hint="eastAsia"/>
        </w:rPr>
        <w:drawing>
          <wp:anchor distT="0" distB="0" distL="0" distR="0" simplePos="0" relativeHeight="251662336" behindDoc="0" locked="0" layoutInCell="1" allowOverlap="1">
            <wp:simplePos x="0" y="0"/>
            <wp:positionH relativeFrom="column">
              <wp:posOffset>-5080</wp:posOffset>
            </wp:positionH>
            <wp:positionV relativeFrom="paragraph">
              <wp:posOffset>7620</wp:posOffset>
            </wp:positionV>
            <wp:extent cx="5313680" cy="3223895"/>
            <wp:effectExtent l="0" t="0" r="7620" b="1905"/>
            <wp:wrapSquare wrapText="bothSides"/>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5"/>
                    <a:stretch>
                      <a:fillRect/>
                    </a:stretch>
                  </pic:blipFill>
                  <pic:spPr>
                    <a:xfrm>
                      <a:off x="0" y="0"/>
                      <a:ext cx="5313680" cy="322389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eastAsia="宋体"/>
          <w:w w:val="110"/>
          <w:lang w:eastAsia="zh-CN"/>
        </w:rPr>
      </w:pPr>
    </w:p>
    <w:p>
      <w:pPr>
        <w:spacing w:line="440" w:lineRule="exact"/>
        <w:jc w:val="center"/>
        <w:rPr>
          <w:rFonts w:hint="eastAsia"/>
        </w:rPr>
      </w:pPr>
    </w:p>
    <w:p>
      <w:pPr>
        <w:spacing w:line="440" w:lineRule="exact"/>
        <w:jc w:val="center"/>
        <w:rPr>
          <w:rFonts w:hint="eastAsia"/>
        </w:rPr>
      </w:pPr>
      <w:r>
        <w:rPr>
          <w:rFonts w:hint="eastAsia"/>
        </w:rPr>
        <w:t>图</w:t>
      </w:r>
      <w:r>
        <w:rPr>
          <w:rFonts w:hint="eastAsia"/>
          <w:lang w:val="en-US" w:eastAsia="zh-CN"/>
        </w:rPr>
        <w:t>10</w:t>
      </w:r>
      <w:r>
        <w:t xml:space="preserve"> </w:t>
      </w:r>
      <w:r>
        <w:rPr>
          <w:rFonts w:hint="eastAsia"/>
        </w:rPr>
        <w:t>粒径大于7</w:t>
      </w:r>
      <w:r>
        <w:t>4</w:t>
      </w:r>
      <w:r>
        <w:rPr>
          <w:rFonts w:hint="eastAsia"/>
        </w:rPr>
        <w:t>μm含铬钢渣（</w:t>
      </w:r>
      <w:r>
        <w:t>2</w:t>
      </w:r>
      <w:r>
        <w:rPr>
          <w:rFonts w:hint="eastAsia"/>
        </w:rPr>
        <w:t>#样品）SEM照片</w:t>
      </w:r>
    </w:p>
    <w:tbl>
      <w:tblPr>
        <w:tblStyle w:val="1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9"/>
        <w:gridCol w:w="790"/>
        <w:gridCol w:w="790"/>
        <w:gridCol w:w="743"/>
        <w:gridCol w:w="778"/>
        <w:gridCol w:w="665"/>
        <w:gridCol w:w="790"/>
        <w:gridCol w:w="790"/>
        <w:gridCol w:w="748"/>
        <w:gridCol w:w="790"/>
        <w:gridCol w:w="743"/>
        <w:gridCol w:w="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vMerge w:val="restart"/>
            <w:noWrap w:val="0"/>
            <w:vAlign w:val="center"/>
          </w:tcPr>
          <w:p>
            <w:pPr>
              <w:jc w:val="center"/>
              <w:rPr>
                <w:szCs w:val="22"/>
              </w:rPr>
            </w:pPr>
            <w:r>
              <w:rPr>
                <w:rFonts w:hint="eastAsia"/>
                <w:szCs w:val="22"/>
              </w:rPr>
              <w:t>序号</w:t>
            </w:r>
          </w:p>
        </w:tc>
        <w:tc>
          <w:tcPr>
            <w:tcW w:w="4462" w:type="pct"/>
            <w:gridSpan w:val="11"/>
            <w:noWrap w:val="0"/>
            <w:vAlign w:val="top"/>
          </w:tcPr>
          <w:p>
            <w:pPr>
              <w:jc w:val="center"/>
              <w:rPr>
                <w:szCs w:val="22"/>
              </w:rPr>
            </w:pPr>
            <w:r>
              <w:rPr>
                <w:rFonts w:hint="eastAsia"/>
                <w:szCs w:val="22"/>
              </w:rPr>
              <w:t>元素含量（wt</w:t>
            </w:r>
            <w:r>
              <w:rPr>
                <w:szCs w:val="22"/>
              </w:rPr>
              <w:t>.%</w:t>
            </w:r>
            <w:r>
              <w:rPr>
                <w:rFonts w:hint="eastAsia"/>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vMerge w:val="continue"/>
            <w:noWrap w:val="0"/>
            <w:vAlign w:val="center"/>
          </w:tcPr>
          <w:p>
            <w:pPr>
              <w:jc w:val="center"/>
              <w:rPr>
                <w:szCs w:val="22"/>
              </w:rPr>
            </w:pPr>
          </w:p>
        </w:tc>
        <w:tc>
          <w:tcPr>
            <w:tcW w:w="425" w:type="pct"/>
            <w:noWrap w:val="0"/>
            <w:vAlign w:val="center"/>
          </w:tcPr>
          <w:p>
            <w:pPr>
              <w:jc w:val="center"/>
              <w:rPr>
                <w:szCs w:val="22"/>
              </w:rPr>
            </w:pPr>
            <w:r>
              <w:rPr>
                <w:rFonts w:hint="eastAsia"/>
                <w:szCs w:val="22"/>
              </w:rPr>
              <w:t>C</w:t>
            </w:r>
          </w:p>
        </w:tc>
        <w:tc>
          <w:tcPr>
            <w:tcW w:w="425" w:type="pct"/>
            <w:noWrap w:val="0"/>
            <w:vAlign w:val="center"/>
          </w:tcPr>
          <w:p>
            <w:pPr>
              <w:jc w:val="center"/>
              <w:rPr>
                <w:szCs w:val="22"/>
              </w:rPr>
            </w:pPr>
            <w:r>
              <w:rPr>
                <w:rFonts w:hint="eastAsia"/>
                <w:szCs w:val="22"/>
              </w:rPr>
              <w:t>O</w:t>
            </w:r>
          </w:p>
        </w:tc>
        <w:tc>
          <w:tcPr>
            <w:tcW w:w="400" w:type="pct"/>
            <w:noWrap w:val="0"/>
            <w:vAlign w:val="top"/>
          </w:tcPr>
          <w:p>
            <w:pPr>
              <w:jc w:val="center"/>
              <w:rPr>
                <w:szCs w:val="22"/>
              </w:rPr>
            </w:pPr>
            <w:r>
              <w:rPr>
                <w:rFonts w:hint="eastAsia"/>
                <w:szCs w:val="22"/>
              </w:rPr>
              <w:t>F</w:t>
            </w:r>
          </w:p>
        </w:tc>
        <w:tc>
          <w:tcPr>
            <w:tcW w:w="419" w:type="pct"/>
            <w:noWrap w:val="0"/>
            <w:vAlign w:val="center"/>
          </w:tcPr>
          <w:p>
            <w:pPr>
              <w:jc w:val="center"/>
              <w:rPr>
                <w:szCs w:val="22"/>
              </w:rPr>
            </w:pPr>
            <w:r>
              <w:rPr>
                <w:rFonts w:hint="eastAsia"/>
                <w:szCs w:val="22"/>
              </w:rPr>
              <w:t>M</w:t>
            </w:r>
            <w:r>
              <w:rPr>
                <w:szCs w:val="22"/>
              </w:rPr>
              <w:t>g</w:t>
            </w:r>
          </w:p>
        </w:tc>
        <w:tc>
          <w:tcPr>
            <w:tcW w:w="358" w:type="pct"/>
            <w:noWrap w:val="0"/>
            <w:vAlign w:val="center"/>
          </w:tcPr>
          <w:p>
            <w:pPr>
              <w:jc w:val="center"/>
              <w:rPr>
                <w:szCs w:val="22"/>
              </w:rPr>
            </w:pPr>
            <w:r>
              <w:rPr>
                <w:rFonts w:hint="eastAsia"/>
                <w:szCs w:val="22"/>
              </w:rPr>
              <w:t>A</w:t>
            </w:r>
            <w:r>
              <w:rPr>
                <w:szCs w:val="22"/>
              </w:rPr>
              <w:t>l</w:t>
            </w:r>
          </w:p>
        </w:tc>
        <w:tc>
          <w:tcPr>
            <w:tcW w:w="425" w:type="pct"/>
            <w:noWrap w:val="0"/>
            <w:vAlign w:val="center"/>
          </w:tcPr>
          <w:p>
            <w:pPr>
              <w:jc w:val="center"/>
              <w:rPr>
                <w:szCs w:val="22"/>
              </w:rPr>
            </w:pPr>
            <w:r>
              <w:rPr>
                <w:rFonts w:hint="eastAsia"/>
                <w:szCs w:val="22"/>
              </w:rPr>
              <w:t>S</w:t>
            </w:r>
            <w:r>
              <w:rPr>
                <w:szCs w:val="22"/>
              </w:rPr>
              <w:t>i</w:t>
            </w:r>
          </w:p>
        </w:tc>
        <w:tc>
          <w:tcPr>
            <w:tcW w:w="425" w:type="pct"/>
            <w:noWrap w:val="0"/>
            <w:vAlign w:val="center"/>
          </w:tcPr>
          <w:p>
            <w:pPr>
              <w:jc w:val="center"/>
              <w:rPr>
                <w:szCs w:val="22"/>
              </w:rPr>
            </w:pPr>
            <w:r>
              <w:rPr>
                <w:rFonts w:hint="eastAsia"/>
                <w:szCs w:val="22"/>
              </w:rPr>
              <w:t>C</w:t>
            </w:r>
            <w:r>
              <w:rPr>
                <w:szCs w:val="22"/>
              </w:rPr>
              <w:t>a</w:t>
            </w:r>
          </w:p>
        </w:tc>
        <w:tc>
          <w:tcPr>
            <w:tcW w:w="403" w:type="pct"/>
            <w:noWrap w:val="0"/>
            <w:vAlign w:val="center"/>
          </w:tcPr>
          <w:p>
            <w:pPr>
              <w:jc w:val="center"/>
              <w:rPr>
                <w:szCs w:val="22"/>
              </w:rPr>
            </w:pPr>
            <w:r>
              <w:rPr>
                <w:rFonts w:hint="eastAsia"/>
                <w:szCs w:val="22"/>
              </w:rPr>
              <w:t>T</w:t>
            </w:r>
            <w:r>
              <w:rPr>
                <w:szCs w:val="22"/>
              </w:rPr>
              <w:t>i</w:t>
            </w:r>
          </w:p>
        </w:tc>
        <w:tc>
          <w:tcPr>
            <w:tcW w:w="425" w:type="pct"/>
            <w:noWrap w:val="0"/>
            <w:vAlign w:val="center"/>
          </w:tcPr>
          <w:p>
            <w:pPr>
              <w:jc w:val="center"/>
              <w:rPr>
                <w:szCs w:val="22"/>
              </w:rPr>
            </w:pPr>
            <w:r>
              <w:rPr>
                <w:rFonts w:hint="eastAsia"/>
                <w:szCs w:val="22"/>
              </w:rPr>
              <w:t>C</w:t>
            </w:r>
            <w:r>
              <w:rPr>
                <w:szCs w:val="22"/>
              </w:rPr>
              <w:t>r</w:t>
            </w:r>
          </w:p>
        </w:tc>
        <w:tc>
          <w:tcPr>
            <w:tcW w:w="400" w:type="pct"/>
            <w:noWrap w:val="0"/>
            <w:vAlign w:val="center"/>
          </w:tcPr>
          <w:p>
            <w:pPr>
              <w:jc w:val="center"/>
              <w:rPr>
                <w:szCs w:val="22"/>
              </w:rPr>
            </w:pPr>
            <w:r>
              <w:rPr>
                <w:rFonts w:hint="eastAsia"/>
                <w:szCs w:val="22"/>
              </w:rPr>
              <w:t>M</w:t>
            </w:r>
            <w:r>
              <w:rPr>
                <w:szCs w:val="22"/>
              </w:rPr>
              <w:t>n</w:t>
            </w:r>
          </w:p>
        </w:tc>
        <w:tc>
          <w:tcPr>
            <w:tcW w:w="358" w:type="pct"/>
            <w:noWrap w:val="0"/>
            <w:vAlign w:val="top"/>
          </w:tcPr>
          <w:p>
            <w:pPr>
              <w:jc w:val="center"/>
              <w:rPr>
                <w:szCs w:val="22"/>
              </w:rPr>
            </w:pPr>
            <w:r>
              <w:rPr>
                <w:rFonts w:hint="eastAsia"/>
                <w:szCs w:val="22"/>
              </w:rPr>
              <w:t>F</w:t>
            </w:r>
            <w:r>
              <w:rPr>
                <w:szCs w:val="22"/>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szCs w:val="22"/>
              </w:rPr>
            </w:pPr>
            <w:r>
              <w:rPr>
                <w:rFonts w:hint="eastAsia"/>
                <w:szCs w:val="22"/>
              </w:rPr>
              <w:t>1</w:t>
            </w:r>
          </w:p>
        </w:tc>
        <w:tc>
          <w:tcPr>
            <w:tcW w:w="425" w:type="pct"/>
            <w:noWrap w:val="0"/>
            <w:vAlign w:val="center"/>
          </w:tcPr>
          <w:p>
            <w:pPr>
              <w:jc w:val="center"/>
              <w:rPr>
                <w:szCs w:val="22"/>
              </w:rPr>
            </w:pPr>
            <w:r>
              <w:rPr>
                <w:rFonts w:hint="eastAsia"/>
                <w:szCs w:val="22"/>
              </w:rPr>
              <w:t>4</w:t>
            </w:r>
            <w:r>
              <w:rPr>
                <w:szCs w:val="22"/>
              </w:rPr>
              <w:t>.39</w:t>
            </w:r>
          </w:p>
        </w:tc>
        <w:tc>
          <w:tcPr>
            <w:tcW w:w="425" w:type="pct"/>
            <w:noWrap w:val="0"/>
            <w:vAlign w:val="center"/>
          </w:tcPr>
          <w:p>
            <w:pPr>
              <w:jc w:val="center"/>
              <w:rPr>
                <w:szCs w:val="22"/>
              </w:rPr>
            </w:pPr>
            <w:r>
              <w:rPr>
                <w:rFonts w:hint="eastAsia"/>
                <w:szCs w:val="22"/>
              </w:rPr>
              <w:t>2</w:t>
            </w:r>
            <w:r>
              <w:rPr>
                <w:szCs w:val="22"/>
              </w:rPr>
              <w:t>2.55</w:t>
            </w:r>
          </w:p>
        </w:tc>
        <w:tc>
          <w:tcPr>
            <w:tcW w:w="400" w:type="pct"/>
            <w:noWrap w:val="0"/>
            <w:vAlign w:val="top"/>
          </w:tcPr>
          <w:p>
            <w:pPr>
              <w:jc w:val="center"/>
              <w:rPr>
                <w:szCs w:val="22"/>
              </w:rPr>
            </w:pPr>
            <w:r>
              <w:rPr>
                <w:rFonts w:hint="eastAsia"/>
                <w:szCs w:val="22"/>
              </w:rPr>
              <w:t>1</w:t>
            </w:r>
            <w:r>
              <w:rPr>
                <w:szCs w:val="22"/>
              </w:rPr>
              <w:t>.40</w:t>
            </w:r>
          </w:p>
        </w:tc>
        <w:tc>
          <w:tcPr>
            <w:tcW w:w="419" w:type="pct"/>
            <w:noWrap w:val="0"/>
            <w:vAlign w:val="center"/>
          </w:tcPr>
          <w:p>
            <w:pPr>
              <w:jc w:val="center"/>
              <w:rPr>
                <w:szCs w:val="22"/>
              </w:rPr>
            </w:pPr>
            <w:r>
              <w:rPr>
                <w:rFonts w:hint="eastAsia"/>
                <w:szCs w:val="22"/>
              </w:rPr>
              <w:t>2</w:t>
            </w:r>
            <w:r>
              <w:rPr>
                <w:szCs w:val="22"/>
              </w:rPr>
              <w:t>.02</w:t>
            </w:r>
          </w:p>
        </w:tc>
        <w:tc>
          <w:tcPr>
            <w:tcW w:w="358" w:type="pct"/>
            <w:noWrap w:val="0"/>
            <w:vAlign w:val="center"/>
          </w:tcPr>
          <w:p>
            <w:pPr>
              <w:jc w:val="center"/>
              <w:rPr>
                <w:szCs w:val="22"/>
              </w:rPr>
            </w:pPr>
            <w:r>
              <w:rPr>
                <w:rFonts w:hint="eastAsia"/>
                <w:szCs w:val="22"/>
              </w:rPr>
              <w:t>1</w:t>
            </w:r>
            <w:r>
              <w:rPr>
                <w:szCs w:val="22"/>
              </w:rPr>
              <w:t>.10</w:t>
            </w:r>
          </w:p>
        </w:tc>
        <w:tc>
          <w:tcPr>
            <w:tcW w:w="425" w:type="pct"/>
            <w:noWrap w:val="0"/>
            <w:vAlign w:val="center"/>
          </w:tcPr>
          <w:p>
            <w:pPr>
              <w:jc w:val="center"/>
              <w:rPr>
                <w:szCs w:val="22"/>
              </w:rPr>
            </w:pPr>
            <w:r>
              <w:rPr>
                <w:rFonts w:hint="eastAsia"/>
                <w:szCs w:val="22"/>
              </w:rPr>
              <w:t>2</w:t>
            </w:r>
            <w:r>
              <w:rPr>
                <w:szCs w:val="22"/>
              </w:rPr>
              <w:t>0.59</w:t>
            </w:r>
          </w:p>
        </w:tc>
        <w:tc>
          <w:tcPr>
            <w:tcW w:w="425" w:type="pct"/>
            <w:noWrap w:val="0"/>
            <w:vAlign w:val="center"/>
          </w:tcPr>
          <w:p>
            <w:pPr>
              <w:jc w:val="center"/>
              <w:rPr>
                <w:szCs w:val="22"/>
              </w:rPr>
            </w:pPr>
            <w:r>
              <w:rPr>
                <w:rFonts w:hint="eastAsia"/>
                <w:szCs w:val="22"/>
              </w:rPr>
              <w:t>4</w:t>
            </w:r>
            <w:r>
              <w:rPr>
                <w:szCs w:val="22"/>
              </w:rPr>
              <w:t>1.09</w:t>
            </w:r>
          </w:p>
        </w:tc>
        <w:tc>
          <w:tcPr>
            <w:tcW w:w="403" w:type="pct"/>
            <w:noWrap w:val="0"/>
            <w:vAlign w:val="center"/>
          </w:tcPr>
          <w:p>
            <w:pPr>
              <w:jc w:val="center"/>
              <w:rPr>
                <w:szCs w:val="22"/>
              </w:rPr>
            </w:pPr>
            <w:r>
              <w:rPr>
                <w:rFonts w:hint="eastAsia"/>
                <w:szCs w:val="22"/>
              </w:rPr>
              <w:t>-</w:t>
            </w:r>
          </w:p>
        </w:tc>
        <w:tc>
          <w:tcPr>
            <w:tcW w:w="425" w:type="pct"/>
            <w:noWrap w:val="0"/>
            <w:vAlign w:val="center"/>
          </w:tcPr>
          <w:p>
            <w:pPr>
              <w:jc w:val="center"/>
              <w:rPr>
                <w:szCs w:val="22"/>
              </w:rPr>
            </w:pPr>
            <w:r>
              <w:rPr>
                <w:rFonts w:hint="eastAsia"/>
                <w:szCs w:val="22"/>
              </w:rPr>
              <w:t>5</w:t>
            </w:r>
            <w:r>
              <w:rPr>
                <w:szCs w:val="22"/>
              </w:rPr>
              <w:t>.56</w:t>
            </w:r>
          </w:p>
        </w:tc>
        <w:tc>
          <w:tcPr>
            <w:tcW w:w="400" w:type="pct"/>
            <w:noWrap w:val="0"/>
            <w:vAlign w:val="center"/>
          </w:tcPr>
          <w:p>
            <w:pPr>
              <w:jc w:val="center"/>
              <w:rPr>
                <w:szCs w:val="22"/>
              </w:rPr>
            </w:pPr>
            <w:r>
              <w:rPr>
                <w:rFonts w:hint="eastAsia"/>
                <w:szCs w:val="22"/>
              </w:rPr>
              <w:t>1</w:t>
            </w:r>
            <w:r>
              <w:rPr>
                <w:szCs w:val="22"/>
              </w:rPr>
              <w:t>.30</w:t>
            </w:r>
          </w:p>
        </w:tc>
        <w:tc>
          <w:tcPr>
            <w:tcW w:w="358" w:type="pct"/>
            <w:noWrap w:val="0"/>
            <w:vAlign w:val="top"/>
          </w:tcPr>
          <w:p>
            <w:pPr>
              <w:jc w:val="center"/>
              <w:rPr>
                <w:szCs w:val="22"/>
              </w:rPr>
            </w:pPr>
            <w:r>
              <w:rPr>
                <w:rFonts w:hint="eastAsia"/>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szCs w:val="22"/>
              </w:rPr>
            </w:pPr>
            <w:r>
              <w:rPr>
                <w:rFonts w:hint="eastAsia"/>
                <w:szCs w:val="22"/>
              </w:rPr>
              <w:t>2</w:t>
            </w:r>
          </w:p>
        </w:tc>
        <w:tc>
          <w:tcPr>
            <w:tcW w:w="425" w:type="pct"/>
            <w:noWrap w:val="0"/>
            <w:vAlign w:val="center"/>
          </w:tcPr>
          <w:p>
            <w:pPr>
              <w:jc w:val="center"/>
              <w:rPr>
                <w:szCs w:val="22"/>
              </w:rPr>
            </w:pPr>
            <w:r>
              <w:rPr>
                <w:rFonts w:hint="eastAsia"/>
                <w:szCs w:val="22"/>
              </w:rPr>
              <w:t>5</w:t>
            </w:r>
            <w:r>
              <w:rPr>
                <w:szCs w:val="22"/>
              </w:rPr>
              <w:t>.05</w:t>
            </w:r>
          </w:p>
        </w:tc>
        <w:tc>
          <w:tcPr>
            <w:tcW w:w="425" w:type="pct"/>
            <w:noWrap w:val="0"/>
            <w:vAlign w:val="center"/>
          </w:tcPr>
          <w:p>
            <w:pPr>
              <w:jc w:val="center"/>
              <w:rPr>
                <w:szCs w:val="22"/>
              </w:rPr>
            </w:pPr>
            <w:r>
              <w:rPr>
                <w:rFonts w:hint="eastAsia"/>
                <w:szCs w:val="22"/>
              </w:rPr>
              <w:t>4</w:t>
            </w:r>
            <w:r>
              <w:rPr>
                <w:szCs w:val="22"/>
              </w:rPr>
              <w:t>0.55</w:t>
            </w:r>
          </w:p>
        </w:tc>
        <w:tc>
          <w:tcPr>
            <w:tcW w:w="400" w:type="pct"/>
            <w:noWrap w:val="0"/>
            <w:vAlign w:val="center"/>
          </w:tcPr>
          <w:p>
            <w:pPr>
              <w:jc w:val="center"/>
              <w:rPr>
                <w:szCs w:val="22"/>
              </w:rPr>
            </w:pPr>
            <w:r>
              <w:rPr>
                <w:rFonts w:hint="eastAsia"/>
                <w:szCs w:val="22"/>
              </w:rPr>
              <w:t>1</w:t>
            </w:r>
            <w:r>
              <w:rPr>
                <w:szCs w:val="22"/>
              </w:rPr>
              <w:t>.78</w:t>
            </w:r>
          </w:p>
        </w:tc>
        <w:tc>
          <w:tcPr>
            <w:tcW w:w="419" w:type="pct"/>
            <w:noWrap w:val="0"/>
            <w:vAlign w:val="center"/>
          </w:tcPr>
          <w:p>
            <w:pPr>
              <w:jc w:val="center"/>
              <w:rPr>
                <w:szCs w:val="22"/>
              </w:rPr>
            </w:pPr>
            <w:r>
              <w:rPr>
                <w:rFonts w:hint="eastAsia"/>
                <w:szCs w:val="22"/>
              </w:rPr>
              <w:t>1</w:t>
            </w:r>
            <w:r>
              <w:rPr>
                <w:szCs w:val="22"/>
              </w:rPr>
              <w:t>.72</w:t>
            </w:r>
          </w:p>
        </w:tc>
        <w:tc>
          <w:tcPr>
            <w:tcW w:w="358" w:type="pct"/>
            <w:noWrap w:val="0"/>
            <w:vAlign w:val="center"/>
          </w:tcPr>
          <w:p>
            <w:pPr>
              <w:jc w:val="center"/>
              <w:rPr>
                <w:szCs w:val="22"/>
              </w:rPr>
            </w:pPr>
            <w:r>
              <w:rPr>
                <w:rFonts w:hint="eastAsia"/>
                <w:szCs w:val="22"/>
              </w:rPr>
              <w:t>0</w:t>
            </w:r>
            <w:r>
              <w:rPr>
                <w:szCs w:val="22"/>
              </w:rPr>
              <w:t>.78</w:t>
            </w:r>
          </w:p>
        </w:tc>
        <w:tc>
          <w:tcPr>
            <w:tcW w:w="425" w:type="pct"/>
            <w:noWrap w:val="0"/>
            <w:vAlign w:val="center"/>
          </w:tcPr>
          <w:p>
            <w:pPr>
              <w:jc w:val="center"/>
              <w:rPr>
                <w:szCs w:val="22"/>
              </w:rPr>
            </w:pPr>
            <w:r>
              <w:rPr>
                <w:rFonts w:hint="eastAsia"/>
                <w:szCs w:val="22"/>
              </w:rPr>
              <w:t>1</w:t>
            </w:r>
            <w:r>
              <w:rPr>
                <w:szCs w:val="22"/>
              </w:rPr>
              <w:t>3.30</w:t>
            </w:r>
          </w:p>
        </w:tc>
        <w:tc>
          <w:tcPr>
            <w:tcW w:w="425" w:type="pct"/>
            <w:noWrap w:val="0"/>
            <w:vAlign w:val="center"/>
          </w:tcPr>
          <w:p>
            <w:pPr>
              <w:jc w:val="center"/>
              <w:rPr>
                <w:szCs w:val="22"/>
              </w:rPr>
            </w:pPr>
            <w:r>
              <w:rPr>
                <w:rFonts w:hint="eastAsia"/>
                <w:szCs w:val="22"/>
              </w:rPr>
              <w:t>3</w:t>
            </w:r>
            <w:r>
              <w:rPr>
                <w:szCs w:val="22"/>
              </w:rPr>
              <w:t>0.40</w:t>
            </w:r>
          </w:p>
        </w:tc>
        <w:tc>
          <w:tcPr>
            <w:tcW w:w="403" w:type="pct"/>
            <w:noWrap w:val="0"/>
            <w:vAlign w:val="center"/>
          </w:tcPr>
          <w:p>
            <w:pPr>
              <w:jc w:val="center"/>
              <w:rPr>
                <w:szCs w:val="22"/>
              </w:rPr>
            </w:pPr>
            <w:r>
              <w:rPr>
                <w:rFonts w:hint="eastAsia"/>
                <w:szCs w:val="22"/>
              </w:rPr>
              <w:t>0</w:t>
            </w:r>
            <w:r>
              <w:rPr>
                <w:szCs w:val="22"/>
              </w:rPr>
              <w:t>.82</w:t>
            </w:r>
          </w:p>
        </w:tc>
        <w:tc>
          <w:tcPr>
            <w:tcW w:w="425" w:type="pct"/>
            <w:noWrap w:val="0"/>
            <w:vAlign w:val="center"/>
          </w:tcPr>
          <w:p>
            <w:pPr>
              <w:jc w:val="center"/>
              <w:rPr>
                <w:szCs w:val="22"/>
              </w:rPr>
            </w:pPr>
            <w:r>
              <w:rPr>
                <w:rFonts w:hint="eastAsia"/>
                <w:szCs w:val="22"/>
              </w:rPr>
              <w:t>4</w:t>
            </w:r>
            <w:r>
              <w:rPr>
                <w:szCs w:val="22"/>
              </w:rPr>
              <w:t>.66</w:t>
            </w:r>
          </w:p>
        </w:tc>
        <w:tc>
          <w:tcPr>
            <w:tcW w:w="400" w:type="pct"/>
            <w:noWrap w:val="0"/>
            <w:vAlign w:val="center"/>
          </w:tcPr>
          <w:p>
            <w:pPr>
              <w:jc w:val="center"/>
              <w:rPr>
                <w:szCs w:val="22"/>
              </w:rPr>
            </w:pPr>
            <w:r>
              <w:rPr>
                <w:rFonts w:hint="eastAsia"/>
                <w:szCs w:val="22"/>
              </w:rPr>
              <w:t>0</w:t>
            </w:r>
            <w:r>
              <w:rPr>
                <w:szCs w:val="22"/>
              </w:rPr>
              <w:t>.94</w:t>
            </w:r>
          </w:p>
        </w:tc>
        <w:tc>
          <w:tcPr>
            <w:tcW w:w="358" w:type="pct"/>
            <w:noWrap w:val="0"/>
            <w:vAlign w:val="top"/>
          </w:tcPr>
          <w:p>
            <w:pPr>
              <w:jc w:val="center"/>
              <w:rPr>
                <w:szCs w:val="22"/>
              </w:rPr>
            </w:pPr>
            <w:r>
              <w:rPr>
                <w:rFonts w:hint="eastAsia"/>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szCs w:val="22"/>
              </w:rPr>
            </w:pPr>
            <w:r>
              <w:rPr>
                <w:rFonts w:hint="eastAsia"/>
                <w:szCs w:val="22"/>
              </w:rPr>
              <w:t>3</w:t>
            </w:r>
          </w:p>
        </w:tc>
        <w:tc>
          <w:tcPr>
            <w:tcW w:w="425" w:type="pct"/>
            <w:noWrap w:val="0"/>
            <w:vAlign w:val="center"/>
          </w:tcPr>
          <w:p>
            <w:pPr>
              <w:jc w:val="center"/>
              <w:rPr>
                <w:szCs w:val="22"/>
              </w:rPr>
            </w:pPr>
            <w:r>
              <w:rPr>
                <w:rFonts w:hint="eastAsia"/>
                <w:szCs w:val="22"/>
              </w:rPr>
              <w:t>1</w:t>
            </w:r>
            <w:r>
              <w:rPr>
                <w:szCs w:val="22"/>
              </w:rPr>
              <w:t>2.93</w:t>
            </w:r>
          </w:p>
        </w:tc>
        <w:tc>
          <w:tcPr>
            <w:tcW w:w="425" w:type="pct"/>
            <w:noWrap w:val="0"/>
            <w:vAlign w:val="center"/>
          </w:tcPr>
          <w:p>
            <w:pPr>
              <w:jc w:val="center"/>
              <w:rPr>
                <w:szCs w:val="22"/>
              </w:rPr>
            </w:pPr>
            <w:r>
              <w:rPr>
                <w:rFonts w:hint="eastAsia"/>
                <w:szCs w:val="22"/>
              </w:rPr>
              <w:t>2</w:t>
            </w:r>
            <w:r>
              <w:rPr>
                <w:szCs w:val="22"/>
              </w:rPr>
              <w:t>8.08</w:t>
            </w:r>
          </w:p>
        </w:tc>
        <w:tc>
          <w:tcPr>
            <w:tcW w:w="400" w:type="pct"/>
            <w:noWrap w:val="0"/>
            <w:vAlign w:val="top"/>
          </w:tcPr>
          <w:p>
            <w:pPr>
              <w:jc w:val="center"/>
              <w:rPr>
                <w:szCs w:val="22"/>
              </w:rPr>
            </w:pPr>
            <w:r>
              <w:rPr>
                <w:rFonts w:hint="eastAsia"/>
                <w:szCs w:val="22"/>
              </w:rPr>
              <w:t>1</w:t>
            </w:r>
            <w:r>
              <w:rPr>
                <w:szCs w:val="22"/>
              </w:rPr>
              <w:t>.61</w:t>
            </w:r>
          </w:p>
        </w:tc>
        <w:tc>
          <w:tcPr>
            <w:tcW w:w="419" w:type="pct"/>
            <w:noWrap w:val="0"/>
            <w:vAlign w:val="center"/>
          </w:tcPr>
          <w:p>
            <w:pPr>
              <w:jc w:val="center"/>
              <w:rPr>
                <w:szCs w:val="22"/>
              </w:rPr>
            </w:pPr>
            <w:r>
              <w:rPr>
                <w:rFonts w:hint="eastAsia"/>
                <w:szCs w:val="22"/>
              </w:rPr>
              <w:t>1</w:t>
            </w:r>
            <w:r>
              <w:rPr>
                <w:szCs w:val="22"/>
              </w:rPr>
              <w:t>.88</w:t>
            </w:r>
          </w:p>
        </w:tc>
        <w:tc>
          <w:tcPr>
            <w:tcW w:w="358" w:type="pct"/>
            <w:noWrap w:val="0"/>
            <w:vAlign w:val="center"/>
          </w:tcPr>
          <w:p>
            <w:pPr>
              <w:jc w:val="center"/>
              <w:rPr>
                <w:szCs w:val="22"/>
              </w:rPr>
            </w:pPr>
            <w:r>
              <w:rPr>
                <w:rFonts w:hint="eastAsia"/>
                <w:szCs w:val="22"/>
              </w:rPr>
              <w:t>0</w:t>
            </w:r>
            <w:r>
              <w:rPr>
                <w:szCs w:val="22"/>
              </w:rPr>
              <w:t>.92</w:t>
            </w:r>
          </w:p>
        </w:tc>
        <w:tc>
          <w:tcPr>
            <w:tcW w:w="425" w:type="pct"/>
            <w:noWrap w:val="0"/>
            <w:vAlign w:val="center"/>
          </w:tcPr>
          <w:p>
            <w:pPr>
              <w:jc w:val="center"/>
              <w:rPr>
                <w:szCs w:val="22"/>
              </w:rPr>
            </w:pPr>
            <w:r>
              <w:rPr>
                <w:rFonts w:hint="eastAsia"/>
                <w:szCs w:val="22"/>
              </w:rPr>
              <w:t>1</w:t>
            </w:r>
            <w:r>
              <w:rPr>
                <w:szCs w:val="22"/>
              </w:rPr>
              <w:t>4.93</w:t>
            </w:r>
          </w:p>
        </w:tc>
        <w:tc>
          <w:tcPr>
            <w:tcW w:w="425" w:type="pct"/>
            <w:noWrap w:val="0"/>
            <w:vAlign w:val="center"/>
          </w:tcPr>
          <w:p>
            <w:pPr>
              <w:jc w:val="center"/>
              <w:rPr>
                <w:szCs w:val="22"/>
              </w:rPr>
            </w:pPr>
            <w:r>
              <w:rPr>
                <w:rFonts w:hint="eastAsia"/>
                <w:szCs w:val="22"/>
              </w:rPr>
              <w:t>3</w:t>
            </w:r>
            <w:r>
              <w:rPr>
                <w:szCs w:val="22"/>
              </w:rPr>
              <w:t>3.99</w:t>
            </w:r>
          </w:p>
        </w:tc>
        <w:tc>
          <w:tcPr>
            <w:tcW w:w="403" w:type="pct"/>
            <w:noWrap w:val="0"/>
            <w:vAlign w:val="center"/>
          </w:tcPr>
          <w:p>
            <w:pPr>
              <w:jc w:val="center"/>
              <w:rPr>
                <w:szCs w:val="22"/>
              </w:rPr>
            </w:pPr>
            <w:r>
              <w:rPr>
                <w:rFonts w:hint="eastAsia"/>
                <w:szCs w:val="22"/>
              </w:rPr>
              <w:t>0</w:t>
            </w:r>
            <w:r>
              <w:rPr>
                <w:szCs w:val="22"/>
              </w:rPr>
              <w:t>.94</w:t>
            </w:r>
          </w:p>
        </w:tc>
        <w:tc>
          <w:tcPr>
            <w:tcW w:w="425" w:type="pct"/>
            <w:noWrap w:val="0"/>
            <w:vAlign w:val="center"/>
          </w:tcPr>
          <w:p>
            <w:pPr>
              <w:jc w:val="center"/>
              <w:rPr>
                <w:szCs w:val="22"/>
              </w:rPr>
            </w:pPr>
            <w:r>
              <w:rPr>
                <w:rFonts w:hint="eastAsia"/>
                <w:szCs w:val="22"/>
              </w:rPr>
              <w:t>3</w:t>
            </w:r>
            <w:r>
              <w:rPr>
                <w:szCs w:val="22"/>
              </w:rPr>
              <w:t>.53</w:t>
            </w:r>
          </w:p>
        </w:tc>
        <w:tc>
          <w:tcPr>
            <w:tcW w:w="400" w:type="pct"/>
            <w:noWrap w:val="0"/>
            <w:vAlign w:val="center"/>
          </w:tcPr>
          <w:p>
            <w:pPr>
              <w:jc w:val="center"/>
              <w:rPr>
                <w:szCs w:val="22"/>
              </w:rPr>
            </w:pPr>
            <w:r>
              <w:rPr>
                <w:rFonts w:hint="eastAsia"/>
                <w:szCs w:val="22"/>
              </w:rPr>
              <w:t>1</w:t>
            </w:r>
            <w:r>
              <w:rPr>
                <w:szCs w:val="22"/>
              </w:rPr>
              <w:t>.19</w:t>
            </w:r>
          </w:p>
        </w:tc>
        <w:tc>
          <w:tcPr>
            <w:tcW w:w="358" w:type="pct"/>
            <w:noWrap w:val="0"/>
            <w:vAlign w:val="top"/>
          </w:tcPr>
          <w:p>
            <w:pPr>
              <w:jc w:val="center"/>
              <w:rPr>
                <w:szCs w:val="22"/>
              </w:rPr>
            </w:pPr>
            <w:r>
              <w:rPr>
                <w:rFonts w:hint="eastAsia"/>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szCs w:val="22"/>
              </w:rPr>
            </w:pPr>
            <w:r>
              <w:rPr>
                <w:rFonts w:hint="eastAsia"/>
                <w:szCs w:val="22"/>
              </w:rPr>
              <w:t>4</w:t>
            </w:r>
          </w:p>
        </w:tc>
        <w:tc>
          <w:tcPr>
            <w:tcW w:w="425" w:type="pct"/>
            <w:noWrap w:val="0"/>
            <w:vAlign w:val="center"/>
          </w:tcPr>
          <w:p>
            <w:pPr>
              <w:jc w:val="center"/>
              <w:rPr>
                <w:szCs w:val="22"/>
              </w:rPr>
            </w:pPr>
            <w:r>
              <w:rPr>
                <w:rFonts w:hint="eastAsia"/>
                <w:szCs w:val="22"/>
              </w:rPr>
              <w:t>8</w:t>
            </w:r>
            <w:r>
              <w:rPr>
                <w:szCs w:val="22"/>
              </w:rPr>
              <w:t>.60</w:t>
            </w:r>
          </w:p>
        </w:tc>
        <w:tc>
          <w:tcPr>
            <w:tcW w:w="425" w:type="pct"/>
            <w:noWrap w:val="0"/>
            <w:vAlign w:val="center"/>
          </w:tcPr>
          <w:p>
            <w:pPr>
              <w:jc w:val="center"/>
              <w:rPr>
                <w:szCs w:val="22"/>
              </w:rPr>
            </w:pPr>
            <w:r>
              <w:rPr>
                <w:rFonts w:hint="eastAsia"/>
                <w:szCs w:val="22"/>
              </w:rPr>
              <w:t>2</w:t>
            </w:r>
            <w:r>
              <w:rPr>
                <w:szCs w:val="22"/>
              </w:rPr>
              <w:t>6.80</w:t>
            </w:r>
          </w:p>
        </w:tc>
        <w:tc>
          <w:tcPr>
            <w:tcW w:w="400" w:type="pct"/>
            <w:noWrap w:val="0"/>
            <w:vAlign w:val="top"/>
          </w:tcPr>
          <w:p>
            <w:pPr>
              <w:jc w:val="center"/>
              <w:rPr>
                <w:szCs w:val="22"/>
              </w:rPr>
            </w:pPr>
            <w:r>
              <w:rPr>
                <w:rFonts w:hint="eastAsia"/>
                <w:szCs w:val="22"/>
              </w:rPr>
              <w:t>1</w:t>
            </w:r>
            <w:r>
              <w:rPr>
                <w:szCs w:val="22"/>
              </w:rPr>
              <w:t>.51</w:t>
            </w:r>
          </w:p>
        </w:tc>
        <w:tc>
          <w:tcPr>
            <w:tcW w:w="419" w:type="pct"/>
            <w:noWrap w:val="0"/>
            <w:vAlign w:val="center"/>
          </w:tcPr>
          <w:p>
            <w:pPr>
              <w:jc w:val="center"/>
              <w:rPr>
                <w:szCs w:val="22"/>
              </w:rPr>
            </w:pPr>
            <w:r>
              <w:rPr>
                <w:rFonts w:hint="eastAsia"/>
                <w:szCs w:val="22"/>
              </w:rPr>
              <w:t>2</w:t>
            </w:r>
            <w:r>
              <w:rPr>
                <w:szCs w:val="22"/>
              </w:rPr>
              <w:t>.11</w:t>
            </w:r>
          </w:p>
        </w:tc>
        <w:tc>
          <w:tcPr>
            <w:tcW w:w="358" w:type="pct"/>
            <w:noWrap w:val="0"/>
            <w:vAlign w:val="center"/>
          </w:tcPr>
          <w:p>
            <w:pPr>
              <w:jc w:val="center"/>
              <w:rPr>
                <w:szCs w:val="22"/>
              </w:rPr>
            </w:pPr>
            <w:r>
              <w:rPr>
                <w:rFonts w:hint="eastAsia"/>
                <w:szCs w:val="22"/>
              </w:rPr>
              <w:t>1</w:t>
            </w:r>
            <w:r>
              <w:rPr>
                <w:szCs w:val="22"/>
              </w:rPr>
              <w:t>.01</w:t>
            </w:r>
          </w:p>
        </w:tc>
        <w:tc>
          <w:tcPr>
            <w:tcW w:w="425" w:type="pct"/>
            <w:noWrap w:val="0"/>
            <w:vAlign w:val="center"/>
          </w:tcPr>
          <w:p>
            <w:pPr>
              <w:jc w:val="center"/>
              <w:rPr>
                <w:szCs w:val="22"/>
              </w:rPr>
            </w:pPr>
            <w:r>
              <w:rPr>
                <w:rFonts w:hint="eastAsia"/>
                <w:szCs w:val="22"/>
              </w:rPr>
              <w:t>1</w:t>
            </w:r>
            <w:r>
              <w:rPr>
                <w:szCs w:val="22"/>
              </w:rPr>
              <w:t>7.37</w:t>
            </w:r>
          </w:p>
        </w:tc>
        <w:tc>
          <w:tcPr>
            <w:tcW w:w="425" w:type="pct"/>
            <w:noWrap w:val="0"/>
            <w:vAlign w:val="center"/>
          </w:tcPr>
          <w:p>
            <w:pPr>
              <w:jc w:val="center"/>
              <w:rPr>
                <w:szCs w:val="22"/>
              </w:rPr>
            </w:pPr>
            <w:r>
              <w:rPr>
                <w:rFonts w:hint="eastAsia"/>
                <w:szCs w:val="22"/>
              </w:rPr>
              <w:t>3</w:t>
            </w:r>
            <w:r>
              <w:rPr>
                <w:szCs w:val="22"/>
              </w:rPr>
              <w:t>7.63</w:t>
            </w:r>
          </w:p>
        </w:tc>
        <w:tc>
          <w:tcPr>
            <w:tcW w:w="403" w:type="pct"/>
            <w:noWrap w:val="0"/>
            <w:vAlign w:val="center"/>
          </w:tcPr>
          <w:p>
            <w:pPr>
              <w:jc w:val="center"/>
              <w:rPr>
                <w:szCs w:val="22"/>
              </w:rPr>
            </w:pPr>
            <w:r>
              <w:rPr>
                <w:rFonts w:hint="eastAsia"/>
                <w:szCs w:val="22"/>
              </w:rPr>
              <w:t>-</w:t>
            </w:r>
          </w:p>
        </w:tc>
        <w:tc>
          <w:tcPr>
            <w:tcW w:w="425" w:type="pct"/>
            <w:noWrap w:val="0"/>
            <w:vAlign w:val="center"/>
          </w:tcPr>
          <w:p>
            <w:pPr>
              <w:jc w:val="center"/>
              <w:rPr>
                <w:szCs w:val="22"/>
              </w:rPr>
            </w:pPr>
            <w:r>
              <w:rPr>
                <w:rFonts w:hint="eastAsia"/>
                <w:szCs w:val="22"/>
              </w:rPr>
              <w:t>3</w:t>
            </w:r>
            <w:r>
              <w:rPr>
                <w:szCs w:val="22"/>
              </w:rPr>
              <w:t>.81</w:t>
            </w:r>
          </w:p>
        </w:tc>
        <w:tc>
          <w:tcPr>
            <w:tcW w:w="400" w:type="pct"/>
            <w:noWrap w:val="0"/>
            <w:vAlign w:val="center"/>
          </w:tcPr>
          <w:p>
            <w:pPr>
              <w:jc w:val="center"/>
              <w:rPr>
                <w:szCs w:val="22"/>
              </w:rPr>
            </w:pPr>
            <w:r>
              <w:rPr>
                <w:rFonts w:hint="eastAsia"/>
                <w:szCs w:val="22"/>
              </w:rPr>
              <w:t>1</w:t>
            </w:r>
            <w:r>
              <w:rPr>
                <w:szCs w:val="22"/>
              </w:rPr>
              <w:t>.17</w:t>
            </w:r>
          </w:p>
        </w:tc>
        <w:tc>
          <w:tcPr>
            <w:tcW w:w="358" w:type="pct"/>
            <w:noWrap w:val="0"/>
            <w:vAlign w:val="top"/>
          </w:tcPr>
          <w:p>
            <w:pPr>
              <w:jc w:val="center"/>
              <w:rPr>
                <w:szCs w:val="22"/>
              </w:rPr>
            </w:pPr>
            <w:r>
              <w:rPr>
                <w:rFonts w:hint="eastAsia"/>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szCs w:val="22"/>
              </w:rPr>
            </w:pPr>
            <w:r>
              <w:rPr>
                <w:rFonts w:hint="eastAsia"/>
                <w:szCs w:val="22"/>
              </w:rPr>
              <w:t>5</w:t>
            </w:r>
          </w:p>
        </w:tc>
        <w:tc>
          <w:tcPr>
            <w:tcW w:w="425" w:type="pct"/>
            <w:noWrap w:val="0"/>
            <w:vAlign w:val="center"/>
          </w:tcPr>
          <w:p>
            <w:pPr>
              <w:jc w:val="center"/>
              <w:rPr>
                <w:szCs w:val="22"/>
              </w:rPr>
            </w:pPr>
            <w:r>
              <w:rPr>
                <w:rFonts w:hint="eastAsia"/>
                <w:szCs w:val="22"/>
              </w:rPr>
              <w:t>4</w:t>
            </w:r>
            <w:r>
              <w:rPr>
                <w:szCs w:val="22"/>
              </w:rPr>
              <w:t>.67</w:t>
            </w:r>
          </w:p>
        </w:tc>
        <w:tc>
          <w:tcPr>
            <w:tcW w:w="425" w:type="pct"/>
            <w:noWrap w:val="0"/>
            <w:vAlign w:val="center"/>
          </w:tcPr>
          <w:p>
            <w:pPr>
              <w:jc w:val="center"/>
              <w:rPr>
                <w:szCs w:val="22"/>
              </w:rPr>
            </w:pPr>
            <w:r>
              <w:rPr>
                <w:rFonts w:hint="eastAsia"/>
                <w:szCs w:val="22"/>
              </w:rPr>
              <w:t>3</w:t>
            </w:r>
            <w:r>
              <w:rPr>
                <w:szCs w:val="22"/>
              </w:rPr>
              <w:t>9.21</w:t>
            </w:r>
          </w:p>
        </w:tc>
        <w:tc>
          <w:tcPr>
            <w:tcW w:w="400" w:type="pct"/>
            <w:noWrap w:val="0"/>
            <w:vAlign w:val="top"/>
          </w:tcPr>
          <w:p>
            <w:pPr>
              <w:jc w:val="center"/>
              <w:rPr>
                <w:szCs w:val="22"/>
              </w:rPr>
            </w:pPr>
            <w:r>
              <w:rPr>
                <w:rFonts w:hint="eastAsia"/>
                <w:szCs w:val="22"/>
              </w:rPr>
              <w:t>1</w:t>
            </w:r>
            <w:r>
              <w:rPr>
                <w:szCs w:val="22"/>
              </w:rPr>
              <w:t>.62</w:t>
            </w:r>
          </w:p>
        </w:tc>
        <w:tc>
          <w:tcPr>
            <w:tcW w:w="419" w:type="pct"/>
            <w:noWrap w:val="0"/>
            <w:vAlign w:val="center"/>
          </w:tcPr>
          <w:p>
            <w:pPr>
              <w:jc w:val="center"/>
              <w:rPr>
                <w:szCs w:val="22"/>
              </w:rPr>
            </w:pPr>
            <w:r>
              <w:rPr>
                <w:rFonts w:hint="eastAsia"/>
                <w:szCs w:val="22"/>
              </w:rPr>
              <w:t>1</w:t>
            </w:r>
            <w:r>
              <w:rPr>
                <w:szCs w:val="22"/>
              </w:rPr>
              <w:t>.55</w:t>
            </w:r>
          </w:p>
        </w:tc>
        <w:tc>
          <w:tcPr>
            <w:tcW w:w="358" w:type="pct"/>
            <w:noWrap w:val="0"/>
            <w:vAlign w:val="center"/>
          </w:tcPr>
          <w:p>
            <w:pPr>
              <w:jc w:val="center"/>
              <w:rPr>
                <w:szCs w:val="22"/>
              </w:rPr>
            </w:pPr>
            <w:r>
              <w:rPr>
                <w:rFonts w:hint="eastAsia"/>
                <w:szCs w:val="22"/>
              </w:rPr>
              <w:t>0</w:t>
            </w:r>
            <w:r>
              <w:rPr>
                <w:szCs w:val="22"/>
              </w:rPr>
              <w:t>.84</w:t>
            </w:r>
          </w:p>
        </w:tc>
        <w:tc>
          <w:tcPr>
            <w:tcW w:w="425" w:type="pct"/>
            <w:noWrap w:val="0"/>
            <w:vAlign w:val="center"/>
          </w:tcPr>
          <w:p>
            <w:pPr>
              <w:jc w:val="center"/>
              <w:rPr>
                <w:szCs w:val="22"/>
              </w:rPr>
            </w:pPr>
            <w:r>
              <w:rPr>
                <w:rFonts w:hint="eastAsia"/>
                <w:szCs w:val="22"/>
              </w:rPr>
              <w:t>1</w:t>
            </w:r>
            <w:r>
              <w:rPr>
                <w:szCs w:val="22"/>
              </w:rPr>
              <w:t>3.42</w:t>
            </w:r>
          </w:p>
        </w:tc>
        <w:tc>
          <w:tcPr>
            <w:tcW w:w="425" w:type="pct"/>
            <w:noWrap w:val="0"/>
            <w:vAlign w:val="center"/>
          </w:tcPr>
          <w:p>
            <w:pPr>
              <w:jc w:val="center"/>
              <w:rPr>
                <w:szCs w:val="22"/>
              </w:rPr>
            </w:pPr>
            <w:r>
              <w:rPr>
                <w:rFonts w:hint="eastAsia"/>
                <w:szCs w:val="22"/>
              </w:rPr>
              <w:t>3</w:t>
            </w:r>
            <w:r>
              <w:rPr>
                <w:szCs w:val="22"/>
              </w:rPr>
              <w:t>2.15</w:t>
            </w:r>
          </w:p>
        </w:tc>
        <w:tc>
          <w:tcPr>
            <w:tcW w:w="403" w:type="pct"/>
            <w:noWrap w:val="0"/>
            <w:vAlign w:val="center"/>
          </w:tcPr>
          <w:p>
            <w:pPr>
              <w:jc w:val="center"/>
              <w:rPr>
                <w:szCs w:val="22"/>
              </w:rPr>
            </w:pPr>
            <w:r>
              <w:rPr>
                <w:rFonts w:hint="eastAsia"/>
                <w:szCs w:val="22"/>
              </w:rPr>
              <w:t>0</w:t>
            </w:r>
            <w:r>
              <w:rPr>
                <w:szCs w:val="22"/>
              </w:rPr>
              <w:t>.</w:t>
            </w:r>
            <w:r>
              <w:rPr>
                <w:rFonts w:hint="eastAsia"/>
                <w:szCs w:val="22"/>
              </w:rPr>
              <w:t>8</w:t>
            </w:r>
            <w:r>
              <w:rPr>
                <w:szCs w:val="22"/>
              </w:rPr>
              <w:t>1</w:t>
            </w:r>
          </w:p>
        </w:tc>
        <w:tc>
          <w:tcPr>
            <w:tcW w:w="425" w:type="pct"/>
            <w:noWrap w:val="0"/>
            <w:vAlign w:val="center"/>
          </w:tcPr>
          <w:p>
            <w:pPr>
              <w:jc w:val="center"/>
              <w:rPr>
                <w:szCs w:val="22"/>
              </w:rPr>
            </w:pPr>
            <w:r>
              <w:rPr>
                <w:rFonts w:hint="eastAsia"/>
                <w:szCs w:val="22"/>
              </w:rPr>
              <w:t>3</w:t>
            </w:r>
            <w:r>
              <w:rPr>
                <w:szCs w:val="22"/>
              </w:rPr>
              <w:t>.81</w:t>
            </w:r>
          </w:p>
        </w:tc>
        <w:tc>
          <w:tcPr>
            <w:tcW w:w="400" w:type="pct"/>
            <w:noWrap w:val="0"/>
            <w:vAlign w:val="center"/>
          </w:tcPr>
          <w:p>
            <w:pPr>
              <w:jc w:val="center"/>
              <w:rPr>
                <w:szCs w:val="22"/>
              </w:rPr>
            </w:pPr>
            <w:r>
              <w:rPr>
                <w:rFonts w:hint="eastAsia"/>
                <w:szCs w:val="22"/>
              </w:rPr>
              <w:t>1</w:t>
            </w:r>
            <w:r>
              <w:rPr>
                <w:szCs w:val="22"/>
              </w:rPr>
              <w:t>.25</w:t>
            </w:r>
          </w:p>
        </w:tc>
        <w:tc>
          <w:tcPr>
            <w:tcW w:w="358" w:type="pct"/>
            <w:noWrap w:val="0"/>
            <w:vAlign w:val="top"/>
          </w:tcPr>
          <w:p>
            <w:pPr>
              <w:jc w:val="center"/>
              <w:rPr>
                <w:szCs w:val="22"/>
              </w:rPr>
            </w:pPr>
            <w:r>
              <w:rPr>
                <w:szCs w:val="22"/>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szCs w:val="22"/>
              </w:rPr>
            </w:pPr>
            <w:r>
              <w:rPr>
                <w:rFonts w:hint="eastAsia"/>
                <w:szCs w:val="22"/>
              </w:rPr>
              <w:t>6</w:t>
            </w:r>
          </w:p>
        </w:tc>
        <w:tc>
          <w:tcPr>
            <w:tcW w:w="425" w:type="pct"/>
            <w:tcBorders>
              <w:bottom w:val="single" w:color="auto" w:sz="4" w:space="0"/>
            </w:tcBorders>
            <w:noWrap w:val="0"/>
            <w:vAlign w:val="center"/>
          </w:tcPr>
          <w:p>
            <w:pPr>
              <w:jc w:val="center"/>
              <w:rPr>
                <w:szCs w:val="22"/>
              </w:rPr>
            </w:pPr>
            <w:r>
              <w:rPr>
                <w:rFonts w:hint="eastAsia"/>
                <w:szCs w:val="22"/>
              </w:rPr>
              <w:t>5</w:t>
            </w:r>
            <w:r>
              <w:rPr>
                <w:szCs w:val="22"/>
              </w:rPr>
              <w:t>.63</w:t>
            </w:r>
          </w:p>
        </w:tc>
        <w:tc>
          <w:tcPr>
            <w:tcW w:w="425" w:type="pct"/>
            <w:tcBorders>
              <w:bottom w:val="single" w:color="auto" w:sz="4" w:space="0"/>
            </w:tcBorders>
            <w:noWrap w:val="0"/>
            <w:vAlign w:val="center"/>
          </w:tcPr>
          <w:p>
            <w:pPr>
              <w:jc w:val="center"/>
              <w:rPr>
                <w:szCs w:val="22"/>
              </w:rPr>
            </w:pPr>
            <w:r>
              <w:rPr>
                <w:rFonts w:hint="eastAsia"/>
                <w:szCs w:val="22"/>
              </w:rPr>
              <w:t>4</w:t>
            </w:r>
            <w:r>
              <w:rPr>
                <w:szCs w:val="22"/>
              </w:rPr>
              <w:t>0.23</w:t>
            </w:r>
          </w:p>
        </w:tc>
        <w:tc>
          <w:tcPr>
            <w:tcW w:w="400" w:type="pct"/>
            <w:tcBorders>
              <w:bottom w:val="single" w:color="auto" w:sz="4" w:space="0"/>
            </w:tcBorders>
            <w:noWrap w:val="0"/>
            <w:vAlign w:val="top"/>
          </w:tcPr>
          <w:p>
            <w:pPr>
              <w:jc w:val="center"/>
              <w:rPr>
                <w:szCs w:val="22"/>
              </w:rPr>
            </w:pPr>
            <w:r>
              <w:rPr>
                <w:rFonts w:hint="eastAsia"/>
                <w:szCs w:val="22"/>
              </w:rPr>
              <w:t>1</w:t>
            </w:r>
            <w:r>
              <w:rPr>
                <w:szCs w:val="22"/>
              </w:rPr>
              <w:t>.30</w:t>
            </w:r>
          </w:p>
        </w:tc>
        <w:tc>
          <w:tcPr>
            <w:tcW w:w="419" w:type="pct"/>
            <w:tcBorders>
              <w:bottom w:val="single" w:color="auto" w:sz="4" w:space="0"/>
            </w:tcBorders>
            <w:noWrap w:val="0"/>
            <w:vAlign w:val="center"/>
          </w:tcPr>
          <w:p>
            <w:pPr>
              <w:jc w:val="center"/>
              <w:rPr>
                <w:szCs w:val="22"/>
              </w:rPr>
            </w:pPr>
            <w:r>
              <w:rPr>
                <w:rFonts w:hint="eastAsia"/>
                <w:szCs w:val="22"/>
              </w:rPr>
              <w:t>1</w:t>
            </w:r>
            <w:r>
              <w:rPr>
                <w:szCs w:val="22"/>
              </w:rPr>
              <w:t>.68</w:t>
            </w:r>
          </w:p>
        </w:tc>
        <w:tc>
          <w:tcPr>
            <w:tcW w:w="358" w:type="pct"/>
            <w:tcBorders>
              <w:bottom w:val="single" w:color="auto" w:sz="4" w:space="0"/>
            </w:tcBorders>
            <w:noWrap w:val="0"/>
            <w:vAlign w:val="center"/>
          </w:tcPr>
          <w:p>
            <w:pPr>
              <w:jc w:val="center"/>
              <w:rPr>
                <w:szCs w:val="22"/>
              </w:rPr>
            </w:pPr>
            <w:r>
              <w:rPr>
                <w:rFonts w:hint="eastAsia"/>
                <w:szCs w:val="22"/>
              </w:rPr>
              <w:t>0</w:t>
            </w:r>
            <w:r>
              <w:rPr>
                <w:szCs w:val="22"/>
              </w:rPr>
              <w:t>.80</w:t>
            </w:r>
          </w:p>
        </w:tc>
        <w:tc>
          <w:tcPr>
            <w:tcW w:w="425" w:type="pct"/>
            <w:tcBorders>
              <w:bottom w:val="single" w:color="auto" w:sz="4" w:space="0"/>
            </w:tcBorders>
            <w:noWrap w:val="0"/>
            <w:vAlign w:val="center"/>
          </w:tcPr>
          <w:p>
            <w:pPr>
              <w:jc w:val="center"/>
              <w:rPr>
                <w:szCs w:val="22"/>
              </w:rPr>
            </w:pPr>
            <w:r>
              <w:rPr>
                <w:rFonts w:hint="eastAsia"/>
                <w:szCs w:val="22"/>
              </w:rPr>
              <w:t>1</w:t>
            </w:r>
            <w:r>
              <w:rPr>
                <w:szCs w:val="22"/>
              </w:rPr>
              <w:t>3.45</w:t>
            </w:r>
          </w:p>
        </w:tc>
        <w:tc>
          <w:tcPr>
            <w:tcW w:w="425" w:type="pct"/>
            <w:tcBorders>
              <w:bottom w:val="single" w:color="auto" w:sz="4" w:space="0"/>
            </w:tcBorders>
            <w:noWrap w:val="0"/>
            <w:vAlign w:val="center"/>
          </w:tcPr>
          <w:p>
            <w:pPr>
              <w:jc w:val="center"/>
              <w:rPr>
                <w:szCs w:val="22"/>
              </w:rPr>
            </w:pPr>
            <w:r>
              <w:rPr>
                <w:rFonts w:hint="eastAsia"/>
                <w:szCs w:val="22"/>
              </w:rPr>
              <w:t>3</w:t>
            </w:r>
            <w:r>
              <w:rPr>
                <w:szCs w:val="22"/>
              </w:rPr>
              <w:t>1.25</w:t>
            </w:r>
          </w:p>
        </w:tc>
        <w:tc>
          <w:tcPr>
            <w:tcW w:w="403" w:type="pct"/>
            <w:tcBorders>
              <w:bottom w:val="single" w:color="auto" w:sz="4" w:space="0"/>
            </w:tcBorders>
            <w:noWrap w:val="0"/>
            <w:vAlign w:val="center"/>
          </w:tcPr>
          <w:p>
            <w:pPr>
              <w:jc w:val="center"/>
              <w:rPr>
                <w:szCs w:val="22"/>
              </w:rPr>
            </w:pPr>
            <w:r>
              <w:rPr>
                <w:rFonts w:hint="eastAsia"/>
                <w:szCs w:val="22"/>
              </w:rPr>
              <w:t>-</w:t>
            </w:r>
          </w:p>
        </w:tc>
        <w:tc>
          <w:tcPr>
            <w:tcW w:w="425" w:type="pct"/>
            <w:tcBorders>
              <w:bottom w:val="single" w:color="auto" w:sz="4" w:space="0"/>
            </w:tcBorders>
            <w:noWrap w:val="0"/>
            <w:vAlign w:val="center"/>
          </w:tcPr>
          <w:p>
            <w:pPr>
              <w:jc w:val="center"/>
              <w:rPr>
                <w:szCs w:val="22"/>
              </w:rPr>
            </w:pPr>
            <w:r>
              <w:rPr>
                <w:rFonts w:hint="eastAsia"/>
                <w:szCs w:val="22"/>
              </w:rPr>
              <w:t>4</w:t>
            </w:r>
            <w:r>
              <w:rPr>
                <w:szCs w:val="22"/>
              </w:rPr>
              <w:t>.75</w:t>
            </w:r>
          </w:p>
        </w:tc>
        <w:tc>
          <w:tcPr>
            <w:tcW w:w="400" w:type="pct"/>
            <w:tcBorders>
              <w:bottom w:val="single" w:color="auto" w:sz="4" w:space="0"/>
            </w:tcBorders>
            <w:noWrap w:val="0"/>
            <w:vAlign w:val="center"/>
          </w:tcPr>
          <w:p>
            <w:pPr>
              <w:jc w:val="center"/>
              <w:rPr>
                <w:szCs w:val="22"/>
              </w:rPr>
            </w:pPr>
            <w:r>
              <w:rPr>
                <w:rFonts w:hint="eastAsia"/>
                <w:szCs w:val="22"/>
              </w:rPr>
              <w:t>0</w:t>
            </w:r>
            <w:r>
              <w:rPr>
                <w:szCs w:val="22"/>
              </w:rPr>
              <w:t>.90</w:t>
            </w:r>
          </w:p>
        </w:tc>
        <w:tc>
          <w:tcPr>
            <w:tcW w:w="358" w:type="pct"/>
            <w:tcBorders>
              <w:bottom w:val="single" w:color="auto" w:sz="4" w:space="0"/>
            </w:tcBorders>
            <w:noWrap w:val="0"/>
            <w:vAlign w:val="top"/>
          </w:tcPr>
          <w:p>
            <w:pPr>
              <w:jc w:val="center"/>
              <w:rPr>
                <w:szCs w:val="22"/>
              </w:rPr>
            </w:pPr>
            <w:r>
              <w:rPr>
                <w:rFonts w:hint="eastAsia"/>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 w:type="pct"/>
            <w:noWrap w:val="0"/>
            <w:vAlign w:val="center"/>
          </w:tcPr>
          <w:p>
            <w:pPr>
              <w:jc w:val="center"/>
              <w:rPr>
                <w:szCs w:val="22"/>
              </w:rPr>
            </w:pPr>
            <w:r>
              <w:rPr>
                <w:rFonts w:hint="eastAsia"/>
                <w:szCs w:val="22"/>
              </w:rPr>
              <w:t>平均</w:t>
            </w:r>
          </w:p>
        </w:tc>
        <w:tc>
          <w:tcPr>
            <w:tcW w:w="425" w:type="pct"/>
            <w:tcBorders>
              <w:top w:val="single" w:color="auto" w:sz="4" w:space="0"/>
              <w:left w:val="nil"/>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6.88</w:t>
            </w:r>
          </w:p>
        </w:tc>
        <w:tc>
          <w:tcPr>
            <w:tcW w:w="425"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32.90</w:t>
            </w:r>
          </w:p>
        </w:tc>
        <w:tc>
          <w:tcPr>
            <w:tcW w:w="400"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1.54</w:t>
            </w:r>
          </w:p>
        </w:tc>
        <w:tc>
          <w:tcPr>
            <w:tcW w:w="419"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1.83</w:t>
            </w:r>
          </w:p>
        </w:tc>
        <w:tc>
          <w:tcPr>
            <w:tcW w:w="358"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0.91</w:t>
            </w:r>
          </w:p>
        </w:tc>
        <w:tc>
          <w:tcPr>
            <w:tcW w:w="425"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15.51</w:t>
            </w:r>
          </w:p>
        </w:tc>
        <w:tc>
          <w:tcPr>
            <w:tcW w:w="425"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34.42</w:t>
            </w:r>
          </w:p>
        </w:tc>
        <w:tc>
          <w:tcPr>
            <w:tcW w:w="403"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0.86</w:t>
            </w:r>
          </w:p>
        </w:tc>
        <w:tc>
          <w:tcPr>
            <w:tcW w:w="425"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4.35</w:t>
            </w:r>
          </w:p>
        </w:tc>
        <w:tc>
          <w:tcPr>
            <w:tcW w:w="400"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1.13</w:t>
            </w:r>
          </w:p>
        </w:tc>
        <w:tc>
          <w:tcPr>
            <w:tcW w:w="358" w:type="pct"/>
            <w:tcBorders>
              <w:top w:val="single" w:color="auto" w:sz="4" w:space="0"/>
              <w:left w:val="single" w:color="auto" w:sz="4" w:space="0"/>
              <w:bottom w:val="single" w:color="auto" w:sz="4" w:space="0"/>
              <w:right w:val="single" w:color="auto" w:sz="4" w:space="0"/>
            </w:tcBorders>
            <w:noWrap w:val="0"/>
            <w:vAlign w:val="center"/>
          </w:tcPr>
          <w:p>
            <w:pPr>
              <w:jc w:val="center"/>
              <w:rPr>
                <w:szCs w:val="22"/>
              </w:rPr>
            </w:pPr>
            <w:r>
              <w:rPr>
                <w:rFonts w:hint="eastAsia" w:ascii="等线" w:hAnsi="等线" w:eastAsia="等线"/>
                <w:color w:val="000000"/>
                <w:sz w:val="22"/>
                <w:szCs w:val="22"/>
              </w:rPr>
              <w:t>0.68</w:t>
            </w:r>
          </w:p>
        </w:tc>
      </w:tr>
    </w:tbl>
    <w:p>
      <w:pPr>
        <w:jc w:val="center"/>
      </w:pPr>
      <w:r>
        <w:rPr>
          <w:rFonts w:hint="eastAsia"/>
        </w:rPr>
        <w:t>表</w:t>
      </w:r>
      <w:r>
        <w:t xml:space="preserve">2 </w:t>
      </w:r>
      <w:r>
        <w:rPr>
          <w:rFonts w:hint="eastAsia"/>
        </w:rPr>
        <w:t>粒径大于7</w:t>
      </w:r>
      <w:r>
        <w:t>4</w:t>
      </w:r>
      <w:r>
        <w:rPr>
          <w:rFonts w:hint="eastAsia"/>
        </w:rPr>
        <w:t>μm含铬钢渣（</w:t>
      </w:r>
      <w:r>
        <w:t>2</w:t>
      </w:r>
      <w:r>
        <w:rPr>
          <w:rFonts w:hint="eastAsia"/>
        </w:rPr>
        <w:t>#样品）EDS分析</w:t>
      </w:r>
    </w:p>
    <w:p>
      <w:pPr>
        <w:spacing w:line="440" w:lineRule="exact"/>
        <w:rPr>
          <w:rFonts w:hint="eastAsia"/>
          <w:sz w:val="24"/>
          <w:lang w:val="en-US" w:eastAsia="zh-CN"/>
        </w:rPr>
      </w:pPr>
      <w:r>
        <w:rPr>
          <w:rFonts w:hint="eastAsia"/>
          <w:sz w:val="24"/>
          <w:lang w:val="en-US" w:eastAsia="zh-CN"/>
        </w:rPr>
        <w:t>下图展示的是粒径大于74μm含铬钢渣（2#样品）的XRD曲线，如图11所示，钢渣中的元素大多以非晶态的形式存在，这与钢渣的冷却方式有关。在钢渣中的晶体主要为镁黄长石（Ca2MgSi2O7）、灰硅钙石（Ca5(SiO4)2CO3）和铁（Fe）。</w:t>
      </w:r>
    </w:p>
    <w:p>
      <w:pPr>
        <w:jc w:val="center"/>
      </w:pPr>
      <w:r>
        <w:drawing>
          <wp:anchor distT="0" distB="0" distL="114300" distR="114300" simplePos="0" relativeHeight="251661312" behindDoc="0" locked="0" layoutInCell="1" allowOverlap="1">
            <wp:simplePos x="0" y="0"/>
            <wp:positionH relativeFrom="column">
              <wp:posOffset>53340</wp:posOffset>
            </wp:positionH>
            <wp:positionV relativeFrom="paragraph">
              <wp:posOffset>22225</wp:posOffset>
            </wp:positionV>
            <wp:extent cx="5507990" cy="3180080"/>
            <wp:effectExtent l="0" t="0" r="3810" b="7620"/>
            <wp:wrapTopAndBottom/>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26"/>
                    <a:stretch>
                      <a:fillRect/>
                    </a:stretch>
                  </pic:blipFill>
                  <pic:spPr>
                    <a:xfrm>
                      <a:off x="0" y="0"/>
                      <a:ext cx="5507990" cy="3180080"/>
                    </a:xfrm>
                    <a:prstGeom prst="rect">
                      <a:avLst/>
                    </a:prstGeom>
                    <a:noFill/>
                    <a:ln>
                      <a:noFill/>
                    </a:ln>
                  </pic:spPr>
                </pic:pic>
              </a:graphicData>
            </a:graphic>
          </wp:anchor>
        </w:drawing>
      </w:r>
      <w:r>
        <w:rPr>
          <w:rFonts w:hint="eastAsia"/>
        </w:rPr>
        <w:t>图</w:t>
      </w:r>
      <w:r>
        <w:rPr>
          <w:rFonts w:hint="eastAsia"/>
          <w:lang w:val="en-US" w:eastAsia="zh-CN"/>
        </w:rPr>
        <w:t>11</w:t>
      </w:r>
      <w:r>
        <w:t xml:space="preserve"> </w:t>
      </w:r>
      <w:r>
        <w:rPr>
          <w:rFonts w:hint="eastAsia"/>
        </w:rPr>
        <w:t>粒径大于7</w:t>
      </w:r>
      <w:r>
        <w:t>4</w:t>
      </w:r>
      <w:r>
        <w:rPr>
          <w:rFonts w:hint="eastAsia"/>
        </w:rPr>
        <w:t>μm含铬钢渣（</w:t>
      </w:r>
      <w:r>
        <w:t>2</w:t>
      </w:r>
      <w:r>
        <w:rPr>
          <w:rFonts w:hint="eastAsia"/>
        </w:rPr>
        <w:t>#样品）XRD曲线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4"/>
        </w:rPr>
      </w:pPr>
      <w:r>
        <w:rPr>
          <w:rFonts w:hint="eastAsia"/>
          <w:sz w:val="24"/>
        </w:rPr>
        <w:t>我们对原料的物理化学性质进行了研究，针对大颗粒钢渣（粒径&gt;200目）进行了磁选，回收其中的铁磁性颗粒，并考察了Cr元素的去向。而小颗粒钢渣（粒径&lt;200目）则被作为实验原料使用。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黑体" w:hAnsi="黑体" w:eastAsia="黑体" w:cs="黑体"/>
          <w:w w:val="110"/>
          <w:sz w:val="24"/>
          <w:szCs w:val="24"/>
          <w:lang w:val="en-US" w:eastAsia="zh-CN"/>
        </w:rPr>
      </w:pPr>
      <w:r>
        <w:rPr>
          <w:rFonts w:hint="eastAsia" w:ascii="黑体" w:hAnsi="黑体" w:eastAsia="黑体" w:cs="黑体"/>
          <w:w w:val="110"/>
          <w:sz w:val="24"/>
          <w:szCs w:val="24"/>
          <w:lang w:val="en-US" w:eastAsia="zh-CN"/>
        </w:rPr>
        <w:t>2.1.2试剂</w:t>
      </w:r>
    </w:p>
    <w:p>
      <w:pPr>
        <w:pStyle w:val="14"/>
        <w:numPr>
          <w:ilvl w:val="0"/>
          <w:numId w:val="0"/>
        </w:numPr>
        <w:tabs>
          <w:tab w:val="left" w:pos="964"/>
        </w:tabs>
        <w:spacing w:before="0" w:after="0" w:line="240" w:lineRule="auto"/>
        <w:ind w:right="0" w:rightChars="0"/>
        <w:jc w:val="left"/>
        <w:rPr>
          <w:rFonts w:hint="eastAsia" w:ascii="宋体" w:hAnsi="宋体" w:eastAsia="宋体" w:cs="宋体"/>
          <w:w w:val="110"/>
          <w:sz w:val="24"/>
          <w:szCs w:val="24"/>
        </w:rPr>
      </w:pPr>
      <w:r>
        <w:rPr>
          <w:rFonts w:hint="eastAsia" w:ascii="宋体" w:hAnsi="宋体" w:eastAsia="宋体" w:cs="宋体"/>
          <w:w w:val="110"/>
          <w:sz w:val="24"/>
          <w:szCs w:val="24"/>
        </w:rPr>
        <w:t>在此研究中所采用的化学试剂包括次氯酸钠（NaOCl，纯度达99%）和氢氧化钠（NaOH，纯度达99%）。</w:t>
      </w:r>
    </w:p>
    <w:p>
      <w:pPr>
        <w:pStyle w:val="14"/>
        <w:numPr>
          <w:ilvl w:val="0"/>
          <w:numId w:val="0"/>
        </w:numPr>
        <w:tabs>
          <w:tab w:val="left" w:pos="964"/>
        </w:tabs>
        <w:spacing w:before="0" w:after="0" w:line="240" w:lineRule="auto"/>
        <w:ind w:right="0" w:rightChars="0"/>
        <w:jc w:val="left"/>
        <w:rPr>
          <w:rFonts w:hint="default"/>
          <w:i w:val="0"/>
          <w:iCs/>
          <w:sz w:val="28"/>
          <w:szCs w:val="28"/>
          <w:lang w:val="en-US"/>
        </w:rPr>
      </w:pPr>
      <w:r>
        <w:rPr>
          <w:rFonts w:hint="eastAsia" w:ascii="黑体" w:hAnsi="黑体" w:eastAsia="黑体" w:cs="黑体"/>
          <w:i w:val="0"/>
          <w:iCs/>
          <w:w w:val="105"/>
          <w:sz w:val="28"/>
          <w:szCs w:val="28"/>
          <w:lang w:val="en-US" w:eastAsia="zh-CN"/>
        </w:rPr>
        <w:t>2.2方案</w:t>
      </w:r>
    </w:p>
    <w:p>
      <w:pPr>
        <w:pStyle w:val="14"/>
        <w:numPr>
          <w:ilvl w:val="0"/>
          <w:numId w:val="0"/>
        </w:numPr>
        <w:tabs>
          <w:tab w:val="left" w:pos="964"/>
        </w:tabs>
        <w:spacing w:before="0" w:after="0" w:line="240" w:lineRule="auto"/>
        <w:ind w:right="0" w:rightChars="0" w:firstLine="528" w:firstLineChars="200"/>
        <w:jc w:val="left"/>
        <w:rPr>
          <w:rFonts w:hint="eastAsia" w:ascii="宋体" w:hAnsi="宋体" w:eastAsia="宋体" w:cs="宋体"/>
          <w:w w:val="110"/>
          <w:sz w:val="24"/>
          <w:szCs w:val="24"/>
        </w:rPr>
      </w:pPr>
      <w:r>
        <w:rPr>
          <w:rFonts w:hint="eastAsia" w:ascii="宋体" w:hAnsi="宋体" w:eastAsia="宋体" w:cs="宋体"/>
          <w:w w:val="110"/>
          <w:sz w:val="24"/>
          <w:szCs w:val="24"/>
        </w:rPr>
        <w:t>取10.0克不锈钢渣（SS渣）粉末，与预定量的氢氧化钠充分混合，形成均匀的混合物。然后以10:1的液固比（L/S），加入100毫升次氯酸钠溶液，在搅拌的条件下，将混合物放入温度控制的水浴锅中进行等温反应。当反应时间结束后，过滤混合物，分析水溶液中的Cr和其他元素，如Al、Si、Ca、Mg，以确定Cr的可溶性以及其他基质元素中的可溶性选择性。进行一系列实验，探究温度、NaOCl和NaOH浓度以及提取时间对提取步骤的影响。</w:t>
      </w:r>
    </w:p>
    <w:p>
      <w:pPr>
        <w:pStyle w:val="14"/>
        <w:numPr>
          <w:ilvl w:val="0"/>
          <w:numId w:val="0"/>
        </w:numPr>
        <w:tabs>
          <w:tab w:val="left" w:pos="964"/>
        </w:tabs>
        <w:spacing w:before="0" w:after="0" w:line="240" w:lineRule="auto"/>
        <w:ind w:right="0" w:rightChars="0" w:firstLine="588" w:firstLineChars="200"/>
        <w:jc w:val="left"/>
        <w:rPr>
          <w:i w:val="0"/>
          <w:iCs/>
          <w:sz w:val="28"/>
          <w:szCs w:val="28"/>
        </w:rPr>
      </w:pPr>
      <w:r>
        <w:rPr>
          <w:rFonts w:hint="eastAsia" w:ascii="黑体" w:hAnsi="黑体" w:eastAsia="黑体" w:cs="黑体"/>
          <w:i w:val="0"/>
          <w:iCs/>
          <w:w w:val="105"/>
          <w:sz w:val="28"/>
          <w:szCs w:val="28"/>
          <w:lang w:val="en-US" w:eastAsia="zh-CN"/>
        </w:rPr>
        <w:t>2.3</w:t>
      </w:r>
      <w:r>
        <w:rPr>
          <w:rFonts w:hint="eastAsia" w:ascii="黑体" w:hAnsi="黑体" w:eastAsia="黑体" w:cs="黑体"/>
          <w:i w:val="0"/>
          <w:iCs/>
          <w:w w:val="105"/>
          <w:sz w:val="28"/>
          <w:szCs w:val="28"/>
        </w:rPr>
        <w:t>分析方法</w:t>
      </w:r>
    </w:p>
    <w:p>
      <w:pPr>
        <w:pStyle w:val="5"/>
        <w:spacing w:line="266" w:lineRule="auto"/>
        <w:jc w:val="both"/>
        <w:rPr>
          <w:rFonts w:hint="eastAsia" w:ascii="黑体" w:hAnsi="黑体" w:eastAsia="黑体" w:cs="黑体"/>
          <w:w w:val="110"/>
          <w:sz w:val="24"/>
          <w:szCs w:val="24"/>
          <w:lang w:val="en-US" w:eastAsia="zh-CN"/>
        </w:rPr>
      </w:pPr>
      <w:r>
        <w:rPr>
          <w:rFonts w:hint="eastAsia" w:ascii="黑体" w:hAnsi="黑体" w:eastAsia="黑体" w:cs="黑体"/>
          <w:w w:val="110"/>
          <w:sz w:val="24"/>
          <w:szCs w:val="24"/>
          <w:lang w:val="en-US" w:eastAsia="zh-CN"/>
        </w:rPr>
        <w:t>2.3.1分析方法</w:t>
      </w:r>
    </w:p>
    <w:p>
      <w:pPr>
        <w:pStyle w:val="5"/>
        <w:spacing w:line="266" w:lineRule="auto"/>
        <w:ind w:firstLine="528" w:firstLineChars="200"/>
        <w:jc w:val="both"/>
        <w:rPr>
          <w:rFonts w:hint="eastAsia" w:ascii="宋体" w:hAnsi="宋体" w:eastAsia="宋体" w:cs="宋体"/>
          <w:w w:val="110"/>
          <w:sz w:val="24"/>
          <w:szCs w:val="24"/>
        </w:rPr>
      </w:pPr>
      <w:r>
        <w:rPr>
          <w:rFonts w:hint="eastAsia" w:ascii="宋体" w:hAnsi="宋体" w:eastAsia="宋体" w:cs="宋体"/>
          <w:w w:val="110"/>
          <w:sz w:val="24"/>
          <w:szCs w:val="24"/>
        </w:rPr>
        <w:t>铬的浓度在浸出液中分别采用了电感耦合等离子体原子发射光谱（ICP-AES，Thermo Elemental）和二苯碳酰二肼分光光度法进行测定。样品的矿物学分析采用了X射线衍射（XRD，Philips）进行。样品形态及其中铬的分布采用了扫描电子显微镜（SEM，FEI）结合能量色散X射线进行分析。</w:t>
      </w:r>
    </w:p>
    <w:p>
      <w:pPr>
        <w:pStyle w:val="5"/>
        <w:spacing w:line="266" w:lineRule="auto"/>
        <w:ind w:firstLine="528" w:firstLineChars="200"/>
        <w:jc w:val="both"/>
        <w:rPr>
          <w:rFonts w:hint="eastAsia" w:ascii="黑体" w:hAnsi="黑体" w:eastAsia="黑体" w:cs="黑体"/>
          <w:sz w:val="24"/>
          <w:szCs w:val="24"/>
          <w:lang w:val="en-US" w:eastAsia="zh-CN"/>
        </w:rPr>
      </w:pPr>
      <w:r>
        <w:rPr>
          <w:rFonts w:hint="eastAsia" w:ascii="黑体" w:hAnsi="黑体" w:eastAsia="黑体" w:cs="黑体"/>
          <w:w w:val="110"/>
          <w:sz w:val="24"/>
          <w:szCs w:val="24"/>
          <w:lang w:val="en-US" w:eastAsia="zh-CN"/>
        </w:rPr>
        <w:t>2.3.2</w:t>
      </w:r>
      <w:r>
        <w:rPr>
          <w:rFonts w:hint="eastAsia" w:ascii="黑体" w:hAnsi="黑体" w:eastAsia="黑体" w:cs="黑体"/>
          <w:sz w:val="24"/>
          <w:szCs w:val="24"/>
          <w:lang w:val="en-US" w:eastAsia="zh-CN"/>
        </w:rPr>
        <w:t>二苯碳酰二肼分光光度法</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1. 试剂</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（1）硫酸溶液。</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将密度为1.84g/ml的优质纯硫酸（H2SO4）缓缓加入同体积的水中，充分混合。</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（2）磷酸溶液。</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将密度为1.69g/ml，优质纯磷酸（H3PO4）与水按等体积混合。</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（3）20g/L亚硝酸钠溶液。</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将2克亚硝酸钠（NaNO2）加入水中并稀释至100毫升。</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（4）200g/L尿素溶液。</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将20克尿素[(NH2)2CO]加入水中并稀释至100毫升。</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（5）铬标准贮备液。</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称取110℃干燥2小时的0.2829±0.0001克重铬酸钾（K2Cr2O7，优质纯），加入水中进行水解，移至1000毫升容量瓶中，并用水稀释至刻度线，摇匀。此溶液1毫升含0.10毫克六价铬。</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（6）铬标准溶液。</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取5.00毫升铬标准贮备液置于500毫升容量瓶中，并用水稀释至刻度线，摇匀。此溶液1毫升含1.00微克六价铬。当天使用配制此溶液。</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（7）显色剂(I)。</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取0.2克二苯碳酰二肼(C13H14N4O)，加入50毫升丙酮中，加水稀释至100毫升，摇匀。贮存在棕色瓶中，放置在冰箱中。变深颜色后不要使用。</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（8）显色剂(II)。</w:t>
      </w:r>
    </w:p>
    <w:p>
      <w:pPr>
        <w:rPr>
          <w:rFonts w:hint="eastAsia" w:ascii="宋体" w:hAnsi="宋体" w:eastAsia="宋体" w:cs="宋体"/>
          <w:w w:val="110"/>
          <w:sz w:val="24"/>
          <w:szCs w:val="24"/>
          <w:lang w:val="en-US" w:eastAsia="zh-CN"/>
        </w:rPr>
      </w:pPr>
      <w:r>
        <w:rPr>
          <w:rFonts w:hint="eastAsia" w:ascii="宋体" w:hAnsi="宋体" w:eastAsia="宋体" w:cs="宋体"/>
          <w:w w:val="110"/>
          <w:sz w:val="24"/>
          <w:szCs w:val="24"/>
          <w:lang w:val="en-US" w:eastAsia="zh-CN"/>
        </w:rPr>
        <w:t>取2克二苯碳酰二肼(C13H14N4O)，加入50毫升丙酮中，加水稀释至100毫升，摇匀。贮存在棕色瓶中，放置在冰箱中。变深颜色后不要使用。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2.样品预处理</w:t>
      </w:r>
      <w:r>
        <w:rPr>
          <w:rFonts w:hint="eastAsia" w:ascii="宋体" w:hAnsi="宋体" w:cs="宋体"/>
          <w:sz w:val="24"/>
          <w:szCs w:val="24"/>
          <w:lang w:val="en-US" w:eastAsia="zh-CN"/>
        </w:rPr>
        <w:t>。</w:t>
      </w:r>
    </w:p>
    <w:p>
      <w:pPr>
        <w:rPr>
          <w:rFonts w:hint="eastAsia" w:ascii="宋体" w:hAnsi="宋体" w:cs="宋体"/>
          <w:sz w:val="24"/>
          <w:szCs w:val="24"/>
          <w:lang w:val="en-US" w:eastAsia="zh-CN"/>
        </w:rPr>
      </w:pPr>
      <w:r>
        <w:rPr>
          <w:rFonts w:hint="eastAsia" w:ascii="宋体" w:hAnsi="宋体" w:cs="宋体"/>
          <w:sz w:val="24"/>
          <w:szCs w:val="24"/>
          <w:lang w:val="en-US" w:eastAsia="zh-CN"/>
        </w:rPr>
        <w:t>(1) 消除还原性物质如二价铁、亚硫酸盐、硫代硫酸盐等：将适量的样品（六价铬含量少于50μg）放入50ml比色管中，加入水至标线，加入4ml显色剂(II)，混匀后静置5分钟，再加入1ml硫酸摇匀。静置5~10分钟后，在540nm波长下使用10或30mm比色皿测量吸光度，以水为参比。从校准曲线中查得六价铬的含量。使用同一方法制备校准曲线。</w:t>
      </w:r>
    </w:p>
    <w:p>
      <w:pPr>
        <w:rPr>
          <w:rFonts w:hint="eastAsia" w:ascii="宋体" w:hAnsi="宋体" w:cs="宋体"/>
          <w:sz w:val="24"/>
          <w:szCs w:val="24"/>
          <w:lang w:val="en-US" w:eastAsia="zh-CN"/>
        </w:rPr>
      </w:pPr>
    </w:p>
    <w:p>
      <w:pPr>
        <w:numPr>
          <w:ilvl w:val="0"/>
          <w:numId w:val="4"/>
        </w:numPr>
        <w:rPr>
          <w:rFonts w:hint="eastAsia" w:ascii="宋体" w:hAnsi="宋体" w:cs="宋体"/>
          <w:sz w:val="24"/>
          <w:szCs w:val="24"/>
          <w:lang w:val="en-US" w:eastAsia="zh-CN"/>
        </w:rPr>
      </w:pPr>
      <w:r>
        <w:rPr>
          <w:rFonts w:hint="eastAsia" w:ascii="宋体" w:hAnsi="宋体" w:cs="宋体"/>
          <w:sz w:val="24"/>
          <w:szCs w:val="24"/>
          <w:lang w:val="en-US" w:eastAsia="zh-CN"/>
        </w:rPr>
        <w:t>消除氧化性物质如次氯酸盐：将适量的样品（六价铬含量少于50μg）放入50ml比色管中，加入水至标线，加入0.5ml硫酸溶液、0.5ml磷酸溶液、1ml尿素溶液，摇匀后逐滴加入1ml亚硝酸钠溶液，同时摇匀，以除去过量亚硝酸钠与尿素反应产生的气泡。当气泡完全除去后，按照步骤（4）进行测量（无需加入硫酸溶液和磷酸溶液）。</w:t>
      </w:r>
    </w:p>
    <w:p>
      <w:pPr>
        <w:numPr>
          <w:numId w:val="0"/>
        </w:numPr>
        <w:rPr>
          <w:rFonts w:hint="eastAsia" w:ascii="宋体" w:hAnsi="宋体" w:eastAsia="宋体" w:cs="宋体"/>
          <w:sz w:val="24"/>
          <w:szCs w:val="24"/>
        </w:rPr>
      </w:pPr>
      <w:r>
        <w:rPr>
          <w:rFonts w:hint="eastAsia" w:ascii="宋体" w:hAnsi="宋体" w:cs="宋体"/>
          <w:sz w:val="24"/>
          <w:szCs w:val="24"/>
          <w:lang w:val="en-US" w:eastAsia="zh-CN"/>
        </w:rPr>
        <w:t>3.</w:t>
      </w:r>
      <w:r>
        <w:rPr>
          <w:rFonts w:hint="eastAsia" w:ascii="宋体" w:hAnsi="宋体" w:eastAsia="宋体" w:cs="宋体"/>
          <w:sz w:val="24"/>
          <w:szCs w:val="24"/>
        </w:rPr>
        <w:t>空白试验</w:t>
      </w:r>
    </w:p>
    <w:p>
      <w:pPr>
        <w:rPr>
          <w:rFonts w:hint="eastAsia" w:ascii="宋体" w:hAnsi="宋体" w:eastAsia="宋体" w:cs="宋体"/>
          <w:sz w:val="24"/>
          <w:szCs w:val="24"/>
        </w:rPr>
      </w:pPr>
      <w:r>
        <w:rPr>
          <w:rFonts w:hint="eastAsia" w:ascii="宋体" w:hAnsi="宋体" w:eastAsia="宋体" w:cs="宋体"/>
          <w:sz w:val="24"/>
          <w:szCs w:val="24"/>
        </w:rPr>
        <w:t>采用相同的处理方法对空白样品进行处理，只不过样品改为使用50ml水。</w:t>
      </w:r>
    </w:p>
    <w:p>
      <w:pPr>
        <w:rPr>
          <w:rFonts w:hint="eastAsia" w:ascii="宋体" w:hAnsi="宋体" w:eastAsia="宋体" w:cs="宋体"/>
          <w:sz w:val="24"/>
          <w:szCs w:val="24"/>
        </w:rPr>
      </w:pPr>
      <w:r>
        <w:rPr>
          <w:rFonts w:hint="eastAsia" w:ascii="宋体" w:hAnsi="宋体" w:cs="宋体"/>
          <w:sz w:val="24"/>
          <w:szCs w:val="24"/>
          <w:lang w:val="en-US" w:eastAsia="zh-CN"/>
        </w:rPr>
        <w:t>4</w:t>
      </w:r>
      <w:r>
        <w:rPr>
          <w:rFonts w:hint="eastAsia" w:ascii="宋体" w:hAnsi="宋体" w:eastAsia="宋体" w:cs="宋体"/>
          <w:sz w:val="24"/>
          <w:szCs w:val="24"/>
          <w:lang w:val="en-US" w:eastAsia="zh-CN"/>
        </w:rPr>
        <w:t>.</w:t>
      </w:r>
      <w:r>
        <w:rPr>
          <w:rFonts w:hint="eastAsia" w:ascii="宋体" w:hAnsi="宋体" w:eastAsia="宋体" w:cs="宋体"/>
          <w:sz w:val="24"/>
          <w:szCs w:val="24"/>
        </w:rPr>
        <w:t>测定</w:t>
      </w:r>
    </w:p>
    <w:p>
      <w:pPr>
        <w:rPr>
          <w:rFonts w:hint="eastAsia" w:ascii="宋体" w:hAnsi="宋体" w:eastAsia="宋体" w:cs="宋体"/>
          <w:sz w:val="24"/>
          <w:szCs w:val="24"/>
        </w:rPr>
      </w:pPr>
      <w:r>
        <w:rPr>
          <w:rFonts w:hint="eastAsia" w:ascii="宋体" w:hAnsi="宋体" w:eastAsia="宋体" w:cs="宋体"/>
          <w:sz w:val="24"/>
          <w:szCs w:val="24"/>
        </w:rPr>
        <w:t>取适量(含六价铬少于50μg)无色透明样品，加入50ml比色管中，用水稀释至标线。加入0.5ml硫酸溶液和0.5ml磷酸溶液，充分摇匀。加入2m1显色剂(I)，放置5~10min后，在540nm波长处，使用30mm的比色皿，以水做参比，测定吸光度。扣除空白试验测得的吸光度后，从校准曲线上查得六价铬含量。</w:t>
      </w:r>
    </w:p>
    <w:p>
      <w:pPr>
        <w:rPr>
          <w:rFonts w:hint="eastAsia" w:ascii="宋体" w:hAnsi="宋体" w:eastAsia="宋体" w:cs="宋体"/>
          <w:sz w:val="24"/>
          <w:szCs w:val="24"/>
        </w:rPr>
      </w:pPr>
      <w:r>
        <w:rPr>
          <w:rFonts w:hint="eastAsia" w:ascii="宋体" w:hAnsi="宋体" w:cs="宋体"/>
          <w:sz w:val="24"/>
          <w:szCs w:val="24"/>
          <w:lang w:val="en-US" w:eastAsia="zh-CN"/>
        </w:rPr>
        <w:t>5.</w:t>
      </w:r>
      <w:r>
        <w:rPr>
          <w:rFonts w:hint="eastAsia" w:ascii="宋体" w:hAnsi="宋体" w:eastAsia="宋体" w:cs="宋体"/>
          <w:sz w:val="24"/>
          <w:szCs w:val="24"/>
        </w:rPr>
        <w:t>校准</w:t>
      </w:r>
    </w:p>
    <w:p>
      <w:pPr>
        <w:pStyle w:val="5"/>
        <w:spacing w:line="266" w:lineRule="auto"/>
        <w:jc w:val="center"/>
        <w:rPr>
          <w:rFonts w:hint="eastAsia" w:ascii="宋体" w:hAnsi="宋体" w:eastAsia="宋体" w:cs="宋体"/>
          <w:sz w:val="24"/>
          <w:szCs w:val="24"/>
        </w:rPr>
      </w:pPr>
      <w:r>
        <w:rPr>
          <w:rFonts w:hint="eastAsia" w:ascii="宋体" w:hAnsi="宋体" w:eastAsia="宋体" w:cs="宋体"/>
          <w:sz w:val="24"/>
          <w:szCs w:val="24"/>
        </w:rPr>
        <w:t>将铬标准溶液依次加入到一系列50ml比色管中，分别为0、0.20、0.50、1.00、2.00、4.00、6.00、8.00和10.0ml，用水稀释至标线。然后按照测定试样的方法处理每个样品。测定后，从吸光度中减去空白试验的吸光度，然后绘制以六价铬的含量为横坐标、</w:t>
      </w:r>
      <w:bookmarkStart w:id="0" w:name="_GoBack"/>
      <w:bookmarkEnd w:id="0"/>
      <w:r>
        <w:rPr>
          <w:rFonts w:hint="eastAsia" w:ascii="宋体" w:hAnsi="宋体" w:eastAsia="宋体" w:cs="宋体"/>
          <w:sz w:val="24"/>
          <w:szCs w:val="24"/>
        </w:rPr>
        <w:t>吸光度为纵坐标的校准曲线。</w:t>
      </w:r>
    </w:p>
    <w:p>
      <w:pPr>
        <w:pStyle w:val="5"/>
        <w:spacing w:line="266" w:lineRule="auto"/>
        <w:jc w:val="center"/>
        <w:rPr>
          <w:rFonts w:hint="eastAsia" w:ascii="黑体" w:hAnsi="黑体" w:eastAsia="黑体" w:cs="黑体"/>
          <w:w w:val="110"/>
          <w:sz w:val="32"/>
          <w:szCs w:val="32"/>
          <w:lang w:val="en-US" w:eastAsia="zh-CN"/>
        </w:rPr>
      </w:pPr>
      <w:r>
        <w:rPr>
          <w:rFonts w:hint="eastAsia" w:ascii="黑体" w:hAnsi="黑体" w:eastAsia="黑体" w:cs="黑体"/>
          <w:w w:val="110"/>
          <w:sz w:val="32"/>
          <w:szCs w:val="32"/>
          <w:lang w:val="en-US" w:eastAsia="zh-CN"/>
        </w:rPr>
        <w:t>第三章</w:t>
      </w:r>
    </w:p>
    <w:p>
      <w:pPr>
        <w:pStyle w:val="5"/>
        <w:spacing w:line="266" w:lineRule="auto"/>
        <w:jc w:val="both"/>
        <w:rPr>
          <w:rFonts w:hint="default" w:ascii="黑体" w:hAnsi="黑体" w:eastAsia="黑体" w:cs="黑体"/>
          <w:w w:val="110"/>
          <w:sz w:val="28"/>
          <w:szCs w:val="28"/>
          <w:lang w:val="en-US" w:eastAsia="zh-CN"/>
        </w:rPr>
      </w:pPr>
      <w:r>
        <w:rPr>
          <w:rFonts w:hint="eastAsia" w:ascii="黑体" w:hAnsi="黑体" w:eastAsia="黑体" w:cs="黑体"/>
          <w:w w:val="110"/>
          <w:sz w:val="28"/>
          <w:szCs w:val="28"/>
          <w:lang w:val="en-US" w:eastAsia="zh-CN"/>
        </w:rPr>
        <w:t>3.1</w:t>
      </w:r>
    </w:p>
    <w:sectPr>
      <w:headerReference r:id="rId6" w:type="default"/>
      <w:pgSz w:w="11906" w:h="16838"/>
      <w:pgMar w:top="1701" w:right="1417" w:bottom="1417" w:left="1417" w:header="851" w:footer="992" w:gutter="0"/>
      <w:pgNumType w:fmt="decimal" w:start="1"/>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都会好的" w:date="2023-04-14T11:15:00Z" w:initials="">
    <w:p w14:paraId="542215A1">
      <w:pPr>
        <w:pStyle w:val="4"/>
      </w:pPr>
      <w:r>
        <w:rPr>
          <w:rFonts w:hint="eastAsia" w:ascii="Arial" w:hAnsi="Arial" w:eastAsia="宋体" w:cs="Arial"/>
          <w:i w:val="0"/>
          <w:iCs w:val="0"/>
          <w:caps w:val="0"/>
          <w:color w:val="323232"/>
          <w:spacing w:val="0"/>
          <w:sz w:val="16"/>
          <w:szCs w:val="16"/>
          <w:shd w:val="clear" w:color="auto" w:fill="FFFFFF"/>
        </w:rPr>
        <w:t>张晟，彭莉，王定勇，等.铬酸淋溶对铬渣中Cr6+释放的影响[J].环境化学，2007，（4）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42215A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1"/>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Arial Unicode MS">
    <w:altName w:val="Arial"/>
    <w:panose1 w:val="020B0604020202020204"/>
    <w:charset w:val="00"/>
    <w:family w:val="roman"/>
    <w:pitch w:val="default"/>
    <w:sig w:usb0="00000000" w:usb1="00000000" w:usb2="00000000" w:usb3="00000000" w:csb0="00000001" w:csb1="00000000"/>
  </w:font>
  <w:font w:name="AdvGulliv-R">
    <w:altName w:val="Segoe Print"/>
    <w:panose1 w:val="00000000000000000000"/>
    <w:charset w:val="00"/>
    <w:family w:val="auto"/>
    <w:pitch w:val="default"/>
    <w:sig w:usb0="00000000" w:usb1="00000000" w:usb2="00000000" w:usb3="00000000" w:csb0="00040001"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rFonts w:hint="eastAsia"/>
        <w:u w:val="single"/>
      </w:rPr>
      <w:t>辽宁科技大学本科生</w:t>
    </w:r>
    <w:r>
      <w:rPr>
        <w:rFonts w:hint="eastAsia" w:cs="Arial Unicode MS"/>
        <w:u w:val="single"/>
      </w:rPr>
      <w:t>毕业设计(</w:t>
    </w:r>
    <w:r>
      <w:rPr>
        <w:rFonts w:hint="eastAsia" w:ascii="黑体"/>
        <w:kern w:val="10"/>
        <w:u w:val="single"/>
      </w:rPr>
      <w:t>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7"/>
                          </w:pPr>
                          <w:r>
                            <w:t xml:space="preserve">第 </w:t>
                          </w:r>
                          <w:r>
                            <w:fldChar w:fldCharType="begin"/>
                          </w:r>
                          <w:r>
                            <w:instrText xml:space="preserve"> PAGE  \* MERGEFORMAT </w:instrText>
                          </w:r>
                          <w:r>
                            <w:fldChar w:fldCharType="separate"/>
                          </w:r>
                          <w:r>
                            <w:t>2</w:t>
                          </w:r>
                          <w:r>
                            <w:fldChar w:fldCharType="end"/>
                          </w:r>
                          <w:r>
                            <w:t xml:space="preserve"> 页</w:t>
                          </w:r>
                        </w:p>
                      </w:txbxContent>
                    </wps:txbx>
                    <wps:bodyPr vert="horz" wrap="none" lIns="0" tIns="0" rIns="0" bIns="0" anchor="t" anchorCtr="0" upright="0">
                      <a:spAutoFit/>
                    </wps:bodyPr>
                  </wps:wsp>
                </a:graphicData>
              </a:graphic>
            </wp:anchor>
          </w:drawing>
        </mc:Choice>
        <mc:Fallback>
          <w:pict>
            <v:shape id="文本框 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M6pebnPAAAABQEAAA8AAAAAAAAAAQAg&#10;AAAAIgAAAGRycy9kb3ducmV2LnhtbFBLAQIUABQAAAAIAIdO4kDqVY5S3gEAAL8DAAAOAAAAAAAA&#10;AAEAIAAAAB4BAABkcnMvZTJvRG9jLnhtbFBLBQYAAAAABgAGAFkBAABuBQAAAAA=&#10;">
              <v:fill on="f" focussize="0,0"/>
              <v:stroke on="f"/>
              <v:imagedata o:title=""/>
              <o:lock v:ext="edit" aspectratio="f"/>
              <v:textbox inset="0mm,0mm,0mm,0mm" style="mso-fit-shape-to-text:t;">
                <w:txbxContent>
                  <w:p>
                    <w:pPr>
                      <w:pStyle w:val="7"/>
                    </w:pPr>
                    <w:r>
                      <w:t xml:space="preserve">第 </w:t>
                    </w:r>
                    <w:r>
                      <w:fldChar w:fldCharType="begin"/>
                    </w:r>
                    <w:r>
                      <w:instrText xml:space="preserve"> PAGE  \* MERGEFORMAT </w:instrText>
                    </w:r>
                    <w:r>
                      <w:fldChar w:fldCharType="separate"/>
                    </w:r>
                    <w:r>
                      <w:t>2</w:t>
                    </w:r>
                    <w:r>
                      <w:fldChar w:fldCharType="end"/>
                    </w:r>
                    <w:r>
                      <w:t xml:space="preserve"> 页</w:t>
                    </w:r>
                  </w:p>
                </w:txbxContent>
              </v:textbox>
            </v:shape>
          </w:pict>
        </mc:Fallback>
      </mc:AlternateContent>
    </w:r>
    <w:r>
      <w:rPr>
        <w:rFonts w:hint="eastAsia"/>
        <w:u w:val="single"/>
      </w:rPr>
      <w:t>辽宁科技大学本科生</w:t>
    </w:r>
    <w:r>
      <w:rPr>
        <w:rFonts w:hint="eastAsia" w:cs="Arial Unicode MS"/>
        <w:u w:val="single"/>
      </w:rPr>
      <w:t>毕业设计(</w:t>
    </w:r>
    <w:r>
      <w:rPr>
        <w:rFonts w:hint="eastAsia" w:ascii="黑体"/>
        <w:kern w:val="10"/>
        <w:u w:val="single"/>
      </w:rPr>
      <w:t>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88216D"/>
    <w:multiLevelType w:val="singleLevel"/>
    <w:tmpl w:val="9388216D"/>
    <w:lvl w:ilvl="0" w:tentative="0">
      <w:start w:val="1"/>
      <w:numFmt w:val="decimal"/>
      <w:suff w:val="nothing"/>
      <w:lvlText w:val="%1、"/>
      <w:lvlJc w:val="left"/>
    </w:lvl>
  </w:abstractNum>
  <w:abstractNum w:abstractNumId="1">
    <w:nsid w:val="C4A94C41"/>
    <w:multiLevelType w:val="singleLevel"/>
    <w:tmpl w:val="C4A94C41"/>
    <w:lvl w:ilvl="0" w:tentative="0">
      <w:start w:val="1"/>
      <w:numFmt w:val="decimal"/>
      <w:suff w:val="space"/>
      <w:lvlText w:val="第%1章"/>
      <w:lvlJc w:val="left"/>
    </w:lvl>
  </w:abstractNum>
  <w:abstractNum w:abstractNumId="2">
    <w:nsid w:val="07017F01"/>
    <w:multiLevelType w:val="singleLevel"/>
    <w:tmpl w:val="07017F01"/>
    <w:lvl w:ilvl="0" w:tentative="0">
      <w:start w:val="2"/>
      <w:numFmt w:val="decimal"/>
      <w:suff w:val="space"/>
      <w:lvlText w:val="(%1)"/>
      <w:lvlJc w:val="left"/>
    </w:lvl>
  </w:abstractNum>
  <w:abstractNum w:abstractNumId="3">
    <w:nsid w:val="2D71A58E"/>
    <w:multiLevelType w:val="singleLevel"/>
    <w:tmpl w:val="2D71A58E"/>
    <w:lvl w:ilvl="0" w:tentative="0">
      <w:start w:val="2"/>
      <w:numFmt w:val="chineseCounting"/>
      <w:suff w:val="space"/>
      <w:lvlText w:val="第%1章"/>
      <w:lvlJc w:val="left"/>
      <w:rPr>
        <w:rFonts w:hint="eastAsia"/>
      </w:r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都会好的">
    <w15:presenceInfo w15:providerId="None" w15:userId="都会好的"/>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NkZjZlNDZjYTUzNGYyYjZiNjBiY2FiNDU0OTFjNTUifQ=="/>
  </w:docVars>
  <w:rsids>
    <w:rsidRoot w:val="00000000"/>
    <w:rsid w:val="00A6194C"/>
    <w:rsid w:val="014F03EF"/>
    <w:rsid w:val="02612B5C"/>
    <w:rsid w:val="054D2E98"/>
    <w:rsid w:val="064A387B"/>
    <w:rsid w:val="06F35CC1"/>
    <w:rsid w:val="07F700E8"/>
    <w:rsid w:val="09616600"/>
    <w:rsid w:val="0A1D4221"/>
    <w:rsid w:val="0EEC5BB7"/>
    <w:rsid w:val="102E77F6"/>
    <w:rsid w:val="14BB7C7E"/>
    <w:rsid w:val="14D61346"/>
    <w:rsid w:val="15132041"/>
    <w:rsid w:val="16CD3E38"/>
    <w:rsid w:val="18391740"/>
    <w:rsid w:val="1A583509"/>
    <w:rsid w:val="1D74500E"/>
    <w:rsid w:val="1E967206"/>
    <w:rsid w:val="1EDC6F15"/>
    <w:rsid w:val="23D613A0"/>
    <w:rsid w:val="24945F95"/>
    <w:rsid w:val="26B403D1"/>
    <w:rsid w:val="26ED27F3"/>
    <w:rsid w:val="276A0F9A"/>
    <w:rsid w:val="30CE6CD3"/>
    <w:rsid w:val="3175714F"/>
    <w:rsid w:val="369E4A52"/>
    <w:rsid w:val="37781747"/>
    <w:rsid w:val="39534219"/>
    <w:rsid w:val="3BC767F9"/>
    <w:rsid w:val="3F60143E"/>
    <w:rsid w:val="429F5DD9"/>
    <w:rsid w:val="479A2886"/>
    <w:rsid w:val="49167D5F"/>
    <w:rsid w:val="4C3E637D"/>
    <w:rsid w:val="4DDF78D4"/>
    <w:rsid w:val="4EF83441"/>
    <w:rsid w:val="4FE26396"/>
    <w:rsid w:val="50756480"/>
    <w:rsid w:val="54D9517B"/>
    <w:rsid w:val="551C2265"/>
    <w:rsid w:val="5A44578C"/>
    <w:rsid w:val="5E263CC0"/>
    <w:rsid w:val="5E2E29DB"/>
    <w:rsid w:val="5FB23AC9"/>
    <w:rsid w:val="5FE570CA"/>
    <w:rsid w:val="65675475"/>
    <w:rsid w:val="65A92D87"/>
    <w:rsid w:val="65DC0F6F"/>
    <w:rsid w:val="69076303"/>
    <w:rsid w:val="6D4E7241"/>
    <w:rsid w:val="6D5E04BB"/>
    <w:rsid w:val="6E7855AD"/>
    <w:rsid w:val="74C20617"/>
    <w:rsid w:val="771F0CBB"/>
    <w:rsid w:val="775A76E1"/>
    <w:rsid w:val="7A044199"/>
    <w:rsid w:val="7E9D1F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宋体" w:hAnsi="宋体" w:eastAsia="宋体" w:cs="宋体"/>
      <w:b/>
      <w:bCs/>
      <w:kern w:val="44"/>
      <w:sz w:val="48"/>
      <w:szCs w:val="48"/>
      <w:lang w:val="en-US" w:eastAsia="zh-CN" w:bidi="ar"/>
    </w:rPr>
  </w:style>
  <w:style w:type="paragraph" w:styleId="3">
    <w:name w:val="heading 3"/>
    <w:basedOn w:val="1"/>
    <w:next w:val="1"/>
    <w:unhideWhenUsed/>
    <w:qFormat/>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annotation text"/>
    <w:basedOn w:val="1"/>
    <w:qFormat/>
    <w:uiPriority w:val="0"/>
    <w:pPr>
      <w:jc w:val="left"/>
    </w:pPr>
  </w:style>
  <w:style w:type="paragraph" w:styleId="5">
    <w:name w:val="Body Text"/>
    <w:basedOn w:val="1"/>
    <w:qFormat/>
    <w:uiPriority w:val="1"/>
    <w:rPr>
      <w:rFonts w:ascii="Cambria" w:hAnsi="Cambria" w:eastAsia="Cambria" w:cs="Cambria"/>
      <w:sz w:val="16"/>
      <w:szCs w:val="16"/>
      <w:lang w:val="en-US" w:eastAsia="en-US" w:bidi="ar-SA"/>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39"/>
    <w:rPr>
      <w:rFonts w:ascii="Calibri" w:hAnsi="Calibri" w:eastAsia="宋体" w:cs="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Emphasis"/>
    <w:basedOn w:val="11"/>
    <w:qFormat/>
    <w:uiPriority w:val="0"/>
    <w:rPr>
      <w:i/>
    </w:rPr>
  </w:style>
  <w:style w:type="character" w:styleId="13">
    <w:name w:val="Hyperlink"/>
    <w:basedOn w:val="11"/>
    <w:qFormat/>
    <w:uiPriority w:val="0"/>
    <w:rPr>
      <w:color w:val="0000FF"/>
      <w:u w:val="single"/>
    </w:rPr>
  </w:style>
  <w:style w:type="paragraph" w:styleId="14">
    <w:name w:val="List Paragraph"/>
    <w:basedOn w:val="1"/>
    <w:qFormat/>
    <w:uiPriority w:val="1"/>
    <w:pPr>
      <w:ind w:left="630" w:hanging="311"/>
      <w:jc w:val="both"/>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0" Type="http://schemas.microsoft.com/office/2011/relationships/people" Target="people.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tiff"/><Relationship Id="rId22" Type="http://schemas.openxmlformats.org/officeDocument/2006/relationships/image" Target="media/image15.tiff"/><Relationship Id="rId21" Type="http://schemas.openxmlformats.org/officeDocument/2006/relationships/image" Target="media/image14.tiff"/><Relationship Id="rId20" Type="http://schemas.openxmlformats.org/officeDocument/2006/relationships/image" Target="media/image13.tiff"/><Relationship Id="rId2" Type="http://schemas.openxmlformats.org/officeDocument/2006/relationships/settings" Target="settings.xml"/><Relationship Id="rId19" Type="http://schemas.openxmlformats.org/officeDocument/2006/relationships/image" Target="media/image12.tiff"/><Relationship Id="rId18" Type="http://schemas.openxmlformats.org/officeDocument/2006/relationships/image" Target="media/image11.tiff"/><Relationship Id="rId17" Type="http://schemas.openxmlformats.org/officeDocument/2006/relationships/image" Target="media/image10.tiff"/><Relationship Id="rId16" Type="http://schemas.openxmlformats.org/officeDocument/2006/relationships/image" Target="media/image9.tiff"/><Relationship Id="rId15" Type="http://schemas.openxmlformats.org/officeDocument/2006/relationships/image" Target="media/image8.tiff"/><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14407</Words>
  <Characters>16508</Characters>
  <Lines>0</Lines>
  <Paragraphs>0</Paragraphs>
  <TotalTime>26</TotalTime>
  <ScaleCrop>false</ScaleCrop>
  <LinksUpToDate>false</LinksUpToDate>
  <CharactersWithSpaces>16733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2023-04-12T09:00:00Z</dcterms:created>
  <dc:creator>咕噜咕噜</dc:creator>
  <cp:lastModifiedBy>寻梦</cp:lastModifiedBy>
  <dcterms:modified xsi:type="dcterms:W3CDTF">2023-05-12T17:32:32Z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A3C8549382BB49D690F84E6B910A57F1_13</vt:lpwstr>
  </property>
</Properties>
</file>