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4.jpg" ContentType="image/jpeg"/>
  <Override PartName="/word/media/rId56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p>
      <w:pPr>
        <w:pStyle w:val="BodyText"/>
      </w:pPr>
      <w:r>
        <w:t xml:space="preserve">Объект исследования: редактор Emacs.</w:t>
      </w:r>
    </w:p>
    <w:p>
      <w:pPr>
        <w:pStyle w:val="BodyText"/>
      </w:pPr>
      <w:r>
        <w:t xml:space="preserve">Предмет исследования: возможность для редактирования файлов в Emacs.</w:t>
      </w:r>
    </w:p>
    <w:p>
      <w:pPr>
        <w:pStyle w:val="Heading1"/>
      </w:pPr>
      <w:bookmarkStart w:id="21" w:name="техническое-обеспечение"/>
      <w:r>
        <w:t xml:space="preserve">Техническое обеспечение:</w:t>
      </w:r>
      <w:bookmarkEnd w:id="21"/>
    </w:p>
    <w:p>
      <w:pPr>
        <w:numPr>
          <w:ilvl w:val="0"/>
          <w:numId w:val="1001"/>
        </w:numPr>
      </w:pPr>
      <w:r>
        <w:t xml:space="preserve">Характеристики техники: AMD Ryzen 5 3500U 2.1 GHz, 8 GB оперативной памяти, 50 GB свободного места на жёстком диске;</w:t>
      </w:r>
    </w:p>
    <w:p>
      <w:pPr>
        <w:numPr>
          <w:ilvl w:val="0"/>
          <w:numId w:val="1001"/>
        </w:numPr>
      </w:pPr>
      <w:r>
        <w:t xml:space="preserve">ОС Windows 10 Home</w:t>
      </w:r>
    </w:p>
    <w:p>
      <w:pPr>
        <w:numPr>
          <w:ilvl w:val="0"/>
          <w:numId w:val="1001"/>
        </w:numPr>
      </w:pPr>
      <w:r>
        <w:t xml:space="preserve">Git 2.31.1</w:t>
      </w:r>
    </w:p>
    <w:p>
      <w:pPr>
        <w:numPr>
          <w:ilvl w:val="0"/>
          <w:numId w:val="1001"/>
        </w:numPr>
      </w:pPr>
      <w:r>
        <w:t xml:space="preserve">Google Chrome 91.0.4472.19</w:t>
      </w:r>
    </w:p>
    <w:p>
      <w:pPr>
        <w:numPr>
          <w:ilvl w:val="0"/>
          <w:numId w:val="1001"/>
        </w:numPr>
      </w:pPr>
      <w:r>
        <w:t xml:space="preserve">VirtualBox 2.0</w:t>
      </w:r>
    </w:p>
    <w:p>
      <w:pPr>
        <w:numPr>
          <w:ilvl w:val="0"/>
          <w:numId w:val="1001"/>
        </w:numPr>
      </w:pPr>
      <w:r>
        <w:t xml:space="preserve">CentOS 7</w:t>
      </w:r>
    </w:p>
    <w:p>
      <w:pPr>
        <w:pStyle w:val="Heading1"/>
      </w:pPr>
      <w:bookmarkStart w:id="22" w:name="условные-обозначения-и-термины"/>
      <w:r>
        <w:t xml:space="preserve">Условные обозначения и термины:</w:t>
      </w:r>
      <w:bookmarkEnd w:id="22"/>
    </w:p>
    <w:p>
      <w:pPr>
        <w:pStyle w:val="FirstParagraph"/>
      </w:pPr>
      <w:r>
        <w:rPr>
          <w:b/>
        </w:rPr>
        <w:t xml:space="preserve">Текстовым редактором</w:t>
      </w:r>
      <w:r>
        <w:t xml:space="preserve">(text editor) называют программу, которая предназначена для редактирования (составления и изменения) файлов, содержащих только текст. [1]</w:t>
      </w:r>
    </w:p>
    <w:p>
      <w:pPr>
        <w:pStyle w:val="BodyText"/>
      </w:pPr>
      <w:r>
        <w:rPr>
          <w:b/>
        </w:rPr>
        <w:t xml:space="preserve">Буфер</w:t>
      </w:r>
      <w:r>
        <w:t xml:space="preserve"> </w:t>
      </w:r>
      <w:r>
        <w:t xml:space="preserve">— объект, представляющий какой-либо текст.</w:t>
      </w:r>
    </w:p>
    <w:p>
      <w:pPr>
        <w:pStyle w:val="BodyText"/>
      </w:pPr>
      <w:r>
        <w:rPr>
          <w:b/>
        </w:rPr>
        <w:t xml:space="preserve">Фрейм</w:t>
      </w:r>
      <w:r>
        <w:t xml:space="preserve"> </w:t>
      </w:r>
      <w:r>
        <w:t xml:space="preserve">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pStyle w:val="BodyText"/>
      </w:pPr>
      <w:r>
        <w:rPr>
          <w:b/>
        </w:rPr>
        <w:t xml:space="preserve">Окно</w:t>
      </w:r>
      <w:r>
        <w:t xml:space="preserve"> </w:t>
      </w:r>
      <w:r>
        <w:t xml:space="preserve">— прямоугольная область фрейма, отображающая один из буферов.</w:t>
      </w:r>
    </w:p>
    <w:p>
      <w:pPr>
        <w:pStyle w:val="BodyText"/>
      </w:pPr>
      <w:r>
        <w:rPr>
          <w:b/>
        </w:rPr>
        <w:t xml:space="preserve">Область вывода</w:t>
      </w:r>
      <w:r>
        <w:t xml:space="preserve"> </w:t>
      </w:r>
      <w:r>
        <w:t xml:space="preserve">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rPr>
          <w:b/>
        </w:rPr>
        <w:t xml:space="preserve">Минибуфер</w:t>
      </w:r>
      <w:r>
        <w:t xml:space="preserve"> </w:t>
      </w:r>
      <w:r>
        <w:t xml:space="preserve">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rPr>
          <w:b/>
        </w:rPr>
        <w:t xml:space="preserve">Точка вставки</w:t>
      </w:r>
      <w:r>
        <w:t xml:space="preserve"> </w:t>
      </w:r>
      <w:r>
        <w:t xml:space="preserve">— место вставки (удаления) данных в буфере. [3]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введение:</w:t>
      </w:r>
      <w:bookmarkEnd w:id="23"/>
    </w:p>
    <w:p>
      <w:pPr>
        <w:pStyle w:val="Heading5"/>
      </w:pPr>
      <w:bookmarkStart w:id="24" w:name="запуск-редактора-emacs-."/>
      <w:r>
        <w:t xml:space="preserve">Запуск редактора Emacs .</w:t>
      </w:r>
      <w:bookmarkEnd w:id="24"/>
    </w:p>
    <w:p>
      <w:pPr>
        <w:pStyle w:val="FirstParagraph"/>
      </w:pPr>
      <w:r>
        <w:t xml:space="preserve">Для запуска Emacs необходимо в командной строке набрать emacs.</w:t>
      </w:r>
    </w:p>
    <w:p>
      <w:pPr>
        <w:pStyle w:val="BodyText"/>
      </w:pP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 . Для доступа к системе меню используйте клавишу F10 .</w:t>
      </w:r>
    </w:p>
    <w:p>
      <w:pPr>
        <w:pStyle w:val="Heading5"/>
      </w:pPr>
      <w:bookmarkStart w:id="25" w:name="Xfc08aef99c71750244cf5c903b85a957df29cb2"/>
      <w:r>
        <w:t xml:space="preserve">Команды перемещения курсора в буфере Emacs</w:t>
      </w:r>
      <w:bookmarkEnd w:id="25"/>
    </w:p>
    <w:p>
      <w:pPr>
        <w:numPr>
          <w:ilvl w:val="0"/>
          <w:numId w:val="1002"/>
        </w:numPr>
      </w:pPr>
      <w:r>
        <w:t xml:space="preserve">C-p переместиться вверх на одну строку</w:t>
      </w:r>
    </w:p>
    <w:p>
      <w:pPr>
        <w:numPr>
          <w:ilvl w:val="0"/>
          <w:numId w:val="1002"/>
        </w:numPr>
      </w:pPr>
      <w:r>
        <w:t xml:space="preserve">C-n переместиться вниз на одну строку</w:t>
      </w:r>
    </w:p>
    <w:p>
      <w:pPr>
        <w:numPr>
          <w:ilvl w:val="0"/>
          <w:numId w:val="1002"/>
        </w:numPr>
      </w:pPr>
      <w:r>
        <w:t xml:space="preserve">C-f переместиться вперёд на один символ</w:t>
      </w:r>
    </w:p>
    <w:p>
      <w:pPr>
        <w:numPr>
          <w:ilvl w:val="0"/>
          <w:numId w:val="1002"/>
        </w:numPr>
      </w:pPr>
      <w:r>
        <w:t xml:space="preserve">C-b переместиться назад на один символ</w:t>
      </w:r>
    </w:p>
    <w:p>
      <w:pPr>
        <w:numPr>
          <w:ilvl w:val="0"/>
          <w:numId w:val="1002"/>
        </w:numPr>
      </w:pPr>
      <w:r>
        <w:t xml:space="preserve">C-a переместиться в начало строки</w:t>
      </w:r>
    </w:p>
    <w:p>
      <w:pPr>
        <w:numPr>
          <w:ilvl w:val="0"/>
          <w:numId w:val="1002"/>
        </w:numPr>
      </w:pPr>
      <w:r>
        <w:t xml:space="preserve">C-e переместиться в конец строки</w:t>
      </w:r>
    </w:p>
    <w:p>
      <w:pPr>
        <w:numPr>
          <w:ilvl w:val="0"/>
          <w:numId w:val="1002"/>
        </w:numPr>
      </w:pPr>
      <w:r>
        <w:t xml:space="preserve">C-v переместиться вниз на одну страницу</w:t>
      </w:r>
    </w:p>
    <w:p>
      <w:pPr>
        <w:numPr>
          <w:ilvl w:val="0"/>
          <w:numId w:val="1002"/>
        </w:numPr>
      </w:pPr>
      <w:r>
        <w:t xml:space="preserve">M-v переместиться вверх на одну страницу</w:t>
      </w:r>
    </w:p>
    <w:p>
      <w:pPr>
        <w:numPr>
          <w:ilvl w:val="0"/>
          <w:numId w:val="1002"/>
        </w:numPr>
      </w:pPr>
      <w:r>
        <w:t xml:space="preserve">M-f переместиться вперёд на одно слово</w:t>
      </w:r>
    </w:p>
    <w:p>
      <w:pPr>
        <w:numPr>
          <w:ilvl w:val="0"/>
          <w:numId w:val="1002"/>
        </w:numPr>
      </w:pPr>
      <w:r>
        <w:t xml:space="preserve">M-b переместиться назад на одно слово</w:t>
      </w:r>
    </w:p>
    <w:p>
      <w:pPr>
        <w:numPr>
          <w:ilvl w:val="0"/>
          <w:numId w:val="1002"/>
        </w:numPr>
      </w:pPr>
      <w:r>
        <w:t xml:space="preserve">M-&lt; переместиться в начало буфера</w:t>
      </w:r>
    </w:p>
    <w:p>
      <w:pPr>
        <w:numPr>
          <w:ilvl w:val="0"/>
          <w:numId w:val="1002"/>
        </w:numPr>
      </w:pPr>
      <w:r>
        <w:t xml:space="preserve">M-&gt; переместиться в конец буфера</w:t>
      </w:r>
    </w:p>
    <w:p>
      <w:pPr>
        <w:numPr>
          <w:ilvl w:val="0"/>
          <w:numId w:val="1002"/>
        </w:numPr>
      </w:pPr>
      <w:r>
        <w:t xml:space="preserve">C-g закончить текущую операцию</w:t>
      </w:r>
    </w:p>
    <w:p>
      <w:pPr>
        <w:pStyle w:val="Heading5"/>
      </w:pPr>
      <w:bookmarkStart w:id="26" w:name="команды-для-работы-с-текстом"/>
      <w:r>
        <w:t xml:space="preserve">Команды для работы с текстом</w:t>
      </w:r>
      <w:bookmarkEnd w:id="26"/>
    </w:p>
    <w:p>
      <w:pPr>
        <w:numPr>
          <w:ilvl w:val="0"/>
          <w:numId w:val="1003"/>
        </w:numPr>
      </w:pPr>
      <w:r>
        <w:t xml:space="preserve">C-d Удалить символ перед текущим положением курсора</w:t>
      </w:r>
    </w:p>
    <w:p>
      <w:pPr>
        <w:numPr>
          <w:ilvl w:val="0"/>
          <w:numId w:val="1003"/>
        </w:numPr>
      </w:pPr>
      <w:r>
        <w:t xml:space="preserve">M-d Удалить следующее за текущим положением курсора слово</w:t>
      </w:r>
    </w:p>
    <w:p>
      <w:pPr>
        <w:numPr>
          <w:ilvl w:val="0"/>
          <w:numId w:val="1003"/>
        </w:numPr>
      </w:pPr>
      <w:r>
        <w:t xml:space="preserve">C-k Удалить текст от текущего положения курсора до конца строки</w:t>
      </w:r>
    </w:p>
    <w:p>
      <w:pPr>
        <w:numPr>
          <w:ilvl w:val="0"/>
          <w:numId w:val="1003"/>
        </w:numPr>
      </w:pPr>
      <w:r>
        <w:t xml:space="preserve">M-k Удалить текст от текущего положения курсора до конца предложения</w:t>
      </w:r>
    </w:p>
    <w:p>
      <w:pPr>
        <w:numPr>
          <w:ilvl w:val="0"/>
          <w:numId w:val="1003"/>
        </w:numPr>
      </w:pPr>
      <w:r>
        <w:t xml:space="preserve">M- Удалить все пробелы и знаки табуляции вокруг текущего положения курсора</w:t>
      </w:r>
    </w:p>
    <w:p>
      <w:pPr>
        <w:numPr>
          <w:ilvl w:val="0"/>
          <w:numId w:val="1003"/>
        </w:numPr>
      </w:pPr>
      <w:r>
        <w:t xml:space="preserve">C-q Вставить символ, соответствующий нажатой клавише или сочетанию</w:t>
      </w:r>
    </w:p>
    <w:p>
      <w:pPr>
        <w:numPr>
          <w:ilvl w:val="0"/>
          <w:numId w:val="1003"/>
        </w:numPr>
      </w:pPr>
      <w:r>
        <w:t xml:space="preserve">M-q Выровнять текст в текущем параграфе буфера</w:t>
      </w:r>
    </w:p>
    <w:p>
      <w:pPr>
        <w:pStyle w:val="Heading5"/>
      </w:pPr>
      <w:bookmarkStart w:id="27" w:name="команды-для-поиска-и-замены-в-emacs"/>
      <w:r>
        <w:t xml:space="preserve">Команды для поиска и замены в Emacs</w:t>
      </w:r>
      <w:bookmarkEnd w:id="27"/>
    </w:p>
    <w:p>
      <w:pPr>
        <w:numPr>
          <w:ilvl w:val="0"/>
          <w:numId w:val="1004"/>
        </w:numPr>
      </w:pPr>
      <w:r>
        <w:t xml:space="preserve">C-s текст поиска Поиск текста в прямом направлении</w:t>
      </w:r>
    </w:p>
    <w:p>
      <w:pPr>
        <w:numPr>
          <w:ilvl w:val="0"/>
          <w:numId w:val="1004"/>
        </w:numPr>
      </w:pPr>
      <w:r>
        <w:t xml:space="preserve">C-r текст поиска Поиск текста в обратном направлении</w:t>
      </w:r>
    </w:p>
    <w:p>
      <w:pPr>
        <w:numPr>
          <w:ilvl w:val="0"/>
          <w:numId w:val="1004"/>
        </w:numPr>
      </w:pPr>
      <w:r>
        <w:t xml:space="preserve">M-% Поиск текста и его замена с запросом (что на что заменить)</w:t>
      </w:r>
    </w:p>
    <w:p>
      <w:pPr>
        <w:pStyle w:val="Heading5"/>
      </w:pPr>
      <w:bookmarkStart w:id="28" w:name="X8e51e4e74c240c684584d32c67cf1f560197600"/>
      <w:r>
        <w:t xml:space="preserve">Прочие комбинации клавиш, используемые в Emacs</w:t>
      </w:r>
      <w:bookmarkEnd w:id="28"/>
    </w:p>
    <w:p>
      <w:pPr>
        <w:numPr>
          <w:ilvl w:val="0"/>
          <w:numId w:val="1005"/>
        </w:numPr>
      </w:pPr>
      <w:r>
        <w:t xml:space="preserve">C- Переключить язык</w:t>
      </w:r>
    </w:p>
    <w:p>
      <w:pPr>
        <w:numPr>
          <w:ilvl w:val="0"/>
          <w:numId w:val="1005"/>
        </w:numPr>
      </w:pPr>
      <w:r>
        <w:t xml:space="preserve">M-x command Выполнить команду Emacs с именем command</w:t>
      </w:r>
    </w:p>
    <w:p>
      <w:pPr>
        <w:numPr>
          <w:ilvl w:val="0"/>
          <w:numId w:val="1005"/>
        </w:numPr>
      </w:pPr>
      <w:r>
        <w:t xml:space="preserve">C-x u Отменить последнюю операцию[2, 3]</w:t>
      </w:r>
    </w:p>
    <w:p>
      <w:pPr>
        <w:pStyle w:val="Heading1"/>
      </w:pPr>
      <w:bookmarkStart w:id="29" w:name="выполнение-лабораторной-работы"/>
      <w:r>
        <w:t xml:space="preserve">Выполнение лабораторной работы</w:t>
      </w:r>
      <w:bookmarkEnd w:id="29"/>
    </w:p>
    <w:p>
      <w:pPr>
        <w:numPr>
          <w:ilvl w:val="0"/>
          <w:numId w:val="1006"/>
        </w:numPr>
      </w:pPr>
      <w:r>
        <w:t xml:space="preserve">Выполним примеры, приведённые в первой части описания лабораторной работы</w:t>
      </w:r>
    </w:p>
    <w:p>
      <w:pPr>
        <w:numPr>
          <w:ilvl w:val="1"/>
          <w:numId w:val="1007"/>
        </w:numPr>
      </w:pPr>
      <w:r>
        <w:t xml:space="preserve">Откроем emacs. (рис. 1)</w:t>
      </w:r>
    </w:p>
    <w:p>
      <w:pPr>
        <w:numPr>
          <w:ilvl w:val="1"/>
          <w:numId w:val="1000"/>
        </w:numPr>
        <w:pStyle w:val="CaptionedFigure"/>
      </w:pPr>
      <w:bookmarkStart w:id="31" w:name="fig:001"/>
      <w:r>
        <w:drawing>
          <wp:inline>
            <wp:extent cx="3688079" cy="3771900"/>
            <wp:effectExtent b="0" l="0" r="0" t="0"/>
            <wp:docPr descr="Figure 1: emacs" title="" id="1" name="Picture"/>
            <a:graphic>
              <a:graphicData uri="http://schemas.openxmlformats.org/drawingml/2006/picture">
                <pic:pic>
                  <pic:nvPicPr>
                    <pic:cNvPr descr="screens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79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1"/>
          <w:numId w:val="1000"/>
        </w:numPr>
        <w:pStyle w:val="ImageCaption"/>
      </w:pPr>
      <w:r>
        <w:t xml:space="preserve">Figure 1: emacs</w:t>
      </w:r>
    </w:p>
    <w:p>
      <w:pPr>
        <w:numPr>
          <w:ilvl w:val="1"/>
          <w:numId w:val="1007"/>
        </w:numPr>
      </w:pPr>
      <w:r>
        <w:t xml:space="preserve">Создадим файл lab07.sh с помощью комбинации Ctrl-x Ctrl-f (C-x C-f) (рис. 2). Наберем текст ниже. Сохраним файл с помощью комбинации Ctrl-x Ctrl-s (C-x C-s).</w:t>
      </w:r>
    </w:p>
    <w:p>
      <w:pPr>
        <w:numPr>
          <w:ilvl w:val="1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numPr>
          <w:ilvl w:val="1"/>
          <w:numId w:val="1000"/>
        </w:numPr>
        <w:pStyle w:val="CaptionedFigure"/>
      </w:pPr>
      <w:bookmarkStart w:id="33" w:name="fig:002"/>
      <w:r>
        <w:drawing>
          <wp:inline>
            <wp:extent cx="3886200" cy="3787140"/>
            <wp:effectExtent b="0" l="0" r="0" t="0"/>
            <wp:docPr descr="Figure 2: Файл в emacs" title="" id="1" name="Picture"/>
            <a:graphic>
              <a:graphicData uri="http://schemas.openxmlformats.org/drawingml/2006/picture">
                <pic:pic>
                  <pic:nvPicPr>
                    <pic:cNvPr descr="screens\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1"/>
          <w:numId w:val="1000"/>
        </w:numPr>
        <w:pStyle w:val="ImageCaption"/>
      </w:pPr>
      <w:r>
        <w:t xml:space="preserve">Figure 2: Файл в emacs</w:t>
      </w:r>
    </w:p>
    <w:p>
      <w:pPr>
        <w:numPr>
          <w:ilvl w:val="1"/>
          <w:numId w:val="1007"/>
        </w:numPr>
      </w:pPr>
      <w:r>
        <w:t xml:space="preserve">Вырежем одной командой целую строку (С-k). (рис. 3).</w:t>
      </w:r>
    </w:p>
    <w:p>
      <w:pPr>
        <w:numPr>
          <w:ilvl w:val="1"/>
          <w:numId w:val="1000"/>
        </w:numPr>
        <w:pStyle w:val="CaptionedFigure"/>
      </w:pPr>
      <w:bookmarkStart w:id="35" w:name="fig:003"/>
      <w:r>
        <w:drawing>
          <wp:inline>
            <wp:extent cx="3848100" cy="3672840"/>
            <wp:effectExtent b="0" l="0" r="0" t="0"/>
            <wp:docPr descr="Figure 3: Вырезание строки" title="" id="1" name="Picture"/>
            <a:graphic>
              <a:graphicData uri="http://schemas.openxmlformats.org/drawingml/2006/picture">
                <pic:pic>
                  <pic:nvPicPr>
                    <pic:cNvPr descr="screens\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1"/>
          <w:numId w:val="1000"/>
        </w:numPr>
        <w:pStyle w:val="ImageCaption"/>
      </w:pPr>
      <w:r>
        <w:t xml:space="preserve">Figure 3: Вырезание строки</w:t>
      </w:r>
    </w:p>
    <w:p>
      <w:pPr>
        <w:numPr>
          <w:ilvl w:val="1"/>
          <w:numId w:val="1007"/>
        </w:numPr>
      </w:pPr>
      <w:r>
        <w:t xml:space="preserve">Вставить эту строку в конец файла (C-y). (рис. 4)</w:t>
      </w:r>
    </w:p>
    <w:p>
      <w:pPr>
        <w:numPr>
          <w:ilvl w:val="1"/>
          <w:numId w:val="1000"/>
        </w:numPr>
        <w:pStyle w:val="CaptionedFigure"/>
      </w:pPr>
      <w:bookmarkStart w:id="37" w:name="fig:004"/>
      <w:r>
        <w:drawing>
          <wp:inline>
            <wp:extent cx="1729739" cy="1447800"/>
            <wp:effectExtent b="0" l="0" r="0" t="0"/>
            <wp:docPr descr="Figure 4: Вставка в конец" title="" id="1" name="Picture"/>
            <a:graphic>
              <a:graphicData uri="http://schemas.openxmlformats.org/drawingml/2006/picture">
                <pic:pic>
                  <pic:nvPicPr>
                    <pic:cNvPr descr="screens\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39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1"/>
          <w:numId w:val="1000"/>
        </w:numPr>
        <w:pStyle w:val="ImageCaption"/>
      </w:pPr>
      <w:r>
        <w:t xml:space="preserve">Figure 4: Вставка в конец</w:t>
      </w:r>
    </w:p>
    <w:p>
      <w:pPr>
        <w:numPr>
          <w:ilvl w:val="1"/>
          <w:numId w:val="1007"/>
        </w:numPr>
      </w:pPr>
      <w:r>
        <w:t xml:space="preserve">Выделить область текста (C-space). (рис. 5)</w:t>
      </w:r>
    </w:p>
    <w:p>
      <w:pPr>
        <w:numPr>
          <w:ilvl w:val="1"/>
          <w:numId w:val="1000"/>
        </w:numPr>
        <w:pStyle w:val="CaptionedFigure"/>
      </w:pPr>
      <w:bookmarkStart w:id="39" w:name="fig:005"/>
      <w:r>
        <w:drawing>
          <wp:inline>
            <wp:extent cx="2004060" cy="1440180"/>
            <wp:effectExtent b="0" l="0" r="0" t="0"/>
            <wp:docPr descr="Figure 5: Выделение текста" title="" id="1" name="Picture"/>
            <a:graphic>
              <a:graphicData uri="http://schemas.openxmlformats.org/drawingml/2006/picture">
                <pic:pic>
                  <pic:nvPicPr>
                    <pic:cNvPr descr="screens\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1"/>
          <w:numId w:val="1000"/>
        </w:numPr>
        <w:pStyle w:val="ImageCaption"/>
      </w:pPr>
      <w:r>
        <w:t xml:space="preserve">Figure 5: Выделение текста</w:t>
      </w:r>
    </w:p>
    <w:p>
      <w:pPr>
        <w:numPr>
          <w:ilvl w:val="1"/>
          <w:numId w:val="1007"/>
        </w:numPr>
      </w:pPr>
      <w:r>
        <w:t xml:space="preserve">Скопируем область в буфер обмена (M-w). Вставим область в конец файла. (рис. 6)</w:t>
      </w:r>
    </w:p>
    <w:p>
      <w:pPr>
        <w:numPr>
          <w:ilvl w:val="1"/>
          <w:numId w:val="1000"/>
        </w:numPr>
        <w:pStyle w:val="CaptionedFigure"/>
      </w:pPr>
      <w:bookmarkStart w:id="41" w:name="fig:006"/>
      <w:r>
        <w:drawing>
          <wp:inline>
            <wp:extent cx="1546860" cy="1516380"/>
            <wp:effectExtent b="0" l="0" r="0" t="0"/>
            <wp:docPr descr="Figure 6: Вставка и копирование строк" title="" id="1" name="Picture"/>
            <a:graphic>
              <a:graphicData uri="http://schemas.openxmlformats.org/drawingml/2006/picture">
                <pic:pic>
                  <pic:nvPicPr>
                    <pic:cNvPr descr="screens\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1"/>
          <w:numId w:val="1000"/>
        </w:numPr>
        <w:pStyle w:val="ImageCaption"/>
      </w:pPr>
      <w:r>
        <w:t xml:space="preserve">Figure 6: Вставка и копирование строк</w:t>
      </w:r>
    </w:p>
    <w:p>
      <w:pPr>
        <w:numPr>
          <w:ilvl w:val="1"/>
          <w:numId w:val="1007"/>
        </w:numPr>
      </w:pPr>
      <w:r>
        <w:t xml:space="preserve">Вновь выделить эту область и на этот раз вырезать её (C-w). (рис. 7)</w:t>
      </w:r>
    </w:p>
    <w:p>
      <w:pPr>
        <w:numPr>
          <w:ilvl w:val="1"/>
          <w:numId w:val="1000"/>
        </w:numPr>
        <w:pStyle w:val="CaptionedFigure"/>
      </w:pPr>
      <w:bookmarkStart w:id="43" w:name="fig:007"/>
      <w:r>
        <w:drawing>
          <wp:inline>
            <wp:extent cx="1744980" cy="1539240"/>
            <wp:effectExtent b="0" l="0" r="0" t="0"/>
            <wp:docPr descr="Figure 7: Удаление строки" title="" id="1" name="Picture"/>
            <a:graphic>
              <a:graphicData uri="http://schemas.openxmlformats.org/drawingml/2006/picture">
                <pic:pic>
                  <pic:nvPicPr>
                    <pic:cNvPr descr="screens\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1"/>
          <w:numId w:val="1000"/>
        </w:numPr>
        <w:pStyle w:val="ImageCaption"/>
      </w:pPr>
      <w:r>
        <w:t xml:space="preserve">Figure 7: Удаление строки</w:t>
      </w:r>
    </w:p>
    <w:p>
      <w:pPr>
        <w:numPr>
          <w:ilvl w:val="1"/>
          <w:numId w:val="1007"/>
        </w:numPr>
      </w:pPr>
      <w:r>
        <w:t xml:space="preserve">Отмените последнее действие (C-/). (рис. 8)</w:t>
      </w:r>
    </w:p>
    <w:p>
      <w:pPr>
        <w:numPr>
          <w:ilvl w:val="1"/>
          <w:numId w:val="1000"/>
        </w:numPr>
        <w:pStyle w:val="CaptionedFigure"/>
      </w:pPr>
      <w:bookmarkStart w:id="45" w:name="fig:008"/>
      <w:r>
        <w:drawing>
          <wp:inline>
            <wp:extent cx="2232660" cy="1623060"/>
            <wp:effectExtent b="0" l="0" r="0" t="0"/>
            <wp:docPr descr="Figure 8: Отмена команды" title="" id="1" name="Picture"/>
            <a:graphic>
              <a:graphicData uri="http://schemas.openxmlformats.org/drawingml/2006/picture">
                <pic:pic>
                  <pic:nvPicPr>
                    <pic:cNvPr descr="screens\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1"/>
          <w:numId w:val="1000"/>
        </w:numPr>
        <w:pStyle w:val="ImageCaption"/>
      </w:pPr>
      <w:r>
        <w:t xml:space="preserve">Figure 8: Отмена команды</w:t>
      </w:r>
    </w:p>
    <w:p>
      <w:pPr>
        <w:numPr>
          <w:ilvl w:val="1"/>
          <w:numId w:val="1007"/>
        </w:numPr>
      </w:pPr>
      <w:r>
        <w:t xml:space="preserve">Научимся использовать команды по перемещению курсора: 6.1 Переместите курсор в начало строки (C-a). 6.2. Переместите курсор в конец строки (C-e). 6.3. Переместите курсор в начало буфера (M-&lt;). 6.4. Переместите курсор в конец буфера (M-&gt;).</w:t>
      </w:r>
    </w:p>
    <w:p>
      <w:pPr>
        <w:numPr>
          <w:ilvl w:val="1"/>
          <w:numId w:val="1000"/>
        </w:numPr>
      </w:pPr>
      <w:r>
        <w:t xml:space="preserve">Выведем список активных буферов на экран (C-x C-b). (рис. 9)</w:t>
      </w:r>
    </w:p>
    <w:p>
      <w:pPr>
        <w:numPr>
          <w:ilvl w:val="1"/>
          <w:numId w:val="1000"/>
        </w:numPr>
        <w:pStyle w:val="CaptionedFigure"/>
      </w:pPr>
      <w:bookmarkStart w:id="47" w:name="fig:009"/>
      <w:r>
        <w:drawing>
          <wp:inline>
            <wp:extent cx="3794760" cy="3764279"/>
            <wp:effectExtent b="0" l="0" r="0" t="0"/>
            <wp:docPr descr="Figure 9: Список буферов" title="" id="1" name="Picture"/>
            <a:graphic>
              <a:graphicData uri="http://schemas.openxmlformats.org/drawingml/2006/picture">
                <pic:pic>
                  <pic:nvPicPr>
                    <pic:cNvPr descr="screens\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76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1"/>
          <w:numId w:val="1000"/>
        </w:numPr>
        <w:pStyle w:val="ImageCaption"/>
      </w:pPr>
      <w:r>
        <w:t xml:space="preserve">Figure 9: Список буферов</w:t>
      </w:r>
    </w:p>
    <w:p>
      <w:pPr>
        <w:numPr>
          <w:ilvl w:val="1"/>
          <w:numId w:val="1007"/>
        </w:numPr>
      </w:pPr>
      <w:r>
        <w:t xml:space="preserve">Переместимся во вновь открытое окно (C-x) o со списком открытых буферов и переключимся на другой буфер. (рис. 10)</w:t>
      </w:r>
    </w:p>
    <w:p>
      <w:pPr>
        <w:numPr>
          <w:ilvl w:val="1"/>
          <w:numId w:val="1000"/>
        </w:numPr>
        <w:pStyle w:val="CaptionedFigure"/>
      </w:pPr>
      <w:bookmarkStart w:id="49" w:name="fig:010"/>
      <w:r>
        <w:drawing>
          <wp:inline>
            <wp:extent cx="3794760" cy="3779520"/>
            <wp:effectExtent b="0" l="0" r="0" t="0"/>
            <wp:docPr descr="Figure 10: Изменение буфера" title="" id="1" name="Picture"/>
            <a:graphic>
              <a:graphicData uri="http://schemas.openxmlformats.org/drawingml/2006/picture">
                <pic:pic>
                  <pic:nvPicPr>
                    <pic:cNvPr descr="screens\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1"/>
          <w:numId w:val="1000"/>
        </w:numPr>
        <w:pStyle w:val="ImageCaption"/>
      </w:pPr>
      <w:r>
        <w:t xml:space="preserve">Figure 10: Изменение буфера</w:t>
      </w:r>
    </w:p>
    <w:p>
      <w:pPr>
        <w:numPr>
          <w:ilvl w:val="1"/>
          <w:numId w:val="1007"/>
        </w:numPr>
      </w:pPr>
      <w:r>
        <w:t xml:space="preserve">Теперь вновь переключайтесь между буферами, но уже без вывода их списка на экран (C-x b). (рис. 11)</w:t>
      </w:r>
    </w:p>
    <w:p>
      <w:pPr>
        <w:numPr>
          <w:ilvl w:val="1"/>
          <w:numId w:val="1000"/>
        </w:numPr>
        <w:pStyle w:val="CaptionedFigure"/>
      </w:pPr>
      <w:bookmarkStart w:id="51" w:name="fig:011"/>
      <w:r>
        <w:drawing>
          <wp:inline>
            <wp:extent cx="3863340" cy="3741420"/>
            <wp:effectExtent b="0" l="0" r="0" t="0"/>
            <wp:docPr descr="Figure 11: Переключение буфера с помощью клавиш" title="" id="1" name="Picture"/>
            <a:graphic>
              <a:graphicData uri="http://schemas.openxmlformats.org/drawingml/2006/picture">
                <pic:pic>
                  <pic:nvPicPr>
                    <pic:cNvPr descr="screens\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numPr>
          <w:ilvl w:val="1"/>
          <w:numId w:val="1000"/>
        </w:numPr>
        <w:pStyle w:val="ImageCaption"/>
      </w:pPr>
      <w:r>
        <w:t xml:space="preserve">Figure 11: Переключение буфера с помощью клавиш</w:t>
      </w:r>
    </w:p>
    <w:p>
      <w:pPr>
        <w:numPr>
          <w:ilvl w:val="1"/>
          <w:numId w:val="1007"/>
        </w:numPr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2). (рис. 12)</w:t>
      </w:r>
    </w:p>
    <w:p>
      <w:pPr>
        <w:numPr>
          <w:ilvl w:val="1"/>
          <w:numId w:val="1000"/>
        </w:numPr>
        <w:pStyle w:val="CaptionedFigure"/>
      </w:pPr>
      <w:bookmarkStart w:id="53" w:name="fig:012"/>
      <w:r>
        <w:drawing>
          <wp:inline>
            <wp:extent cx="3878579" cy="3680460"/>
            <wp:effectExtent b="0" l="0" r="0" t="0"/>
            <wp:docPr descr="Figure 12: Разделение фреймов" title="" id="1" name="Picture"/>
            <a:graphic>
              <a:graphicData uri="http://schemas.openxmlformats.org/drawingml/2006/picture">
                <pic:pic>
                  <pic:nvPicPr>
                    <pic:cNvPr descr="screens\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79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1"/>
          <w:numId w:val="1000"/>
        </w:numPr>
        <w:pStyle w:val="ImageCaption"/>
      </w:pPr>
      <w:r>
        <w:t xml:space="preserve">Figure 12: Разделение фреймов</w:t>
      </w:r>
    </w:p>
    <w:p>
      <w:pPr>
        <w:numPr>
          <w:ilvl w:val="1"/>
          <w:numId w:val="1007"/>
        </w:numPr>
      </w:pPr>
      <w:r>
        <w:t xml:space="preserve">Переключимся в режим поиска (C-s) и найдем несколько слов, присутствующих в тексте.</w:t>
      </w:r>
    </w:p>
    <w:p>
      <w:pPr>
        <w:numPr>
          <w:ilvl w:val="1"/>
          <w:numId w:val="1000"/>
        </w:numPr>
      </w:pPr>
      <w:r>
        <w:t xml:space="preserve">Переключение между результатами поиска: C-s.</w:t>
      </w:r>
    </w:p>
    <w:p>
      <w:pPr>
        <w:numPr>
          <w:ilvl w:val="1"/>
          <w:numId w:val="1000"/>
        </w:numPr>
      </w:pPr>
      <w:r>
        <w:t xml:space="preserve">Выход из режима поиска: C-g (рис. 13)</w:t>
      </w:r>
    </w:p>
    <w:p>
      <w:pPr>
        <w:numPr>
          <w:ilvl w:val="1"/>
          <w:numId w:val="1000"/>
        </w:numPr>
        <w:pStyle w:val="CaptionedFigure"/>
      </w:pPr>
      <w:bookmarkStart w:id="55" w:name="fig:013"/>
      <w:r>
        <w:drawing>
          <wp:inline>
            <wp:extent cx="3855720" cy="3764279"/>
            <wp:effectExtent b="0" l="0" r="0" t="0"/>
            <wp:docPr descr="Figure 13: Разделение фреймов" title="" id="1" name="Picture"/>
            <a:graphic>
              <a:graphicData uri="http://schemas.openxmlformats.org/drawingml/2006/picture">
                <pic:pic>
                  <pic:nvPicPr>
                    <pic:cNvPr descr="screens\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76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numPr>
          <w:ilvl w:val="1"/>
          <w:numId w:val="1000"/>
        </w:numPr>
        <w:pStyle w:val="ImageCaption"/>
      </w:pPr>
      <w:r>
        <w:t xml:space="preserve">Figure 13: Разделение фреймов</w:t>
      </w:r>
    </w:p>
    <w:p>
      <w:pPr>
        <w:numPr>
          <w:ilvl w:val="1"/>
          <w:numId w:val="1007"/>
        </w:numPr>
      </w:pPr>
      <w:r>
        <w:t xml:space="preserve">Перейдем в другой режим поиска, нажав M-s o. В обычном режиме поиск выделяет цветом слова в тексте, здесь - список совпадений в окне ниже. рис. 14)</w:t>
      </w:r>
    </w:p>
    <w:p>
      <w:pPr>
        <w:numPr>
          <w:ilvl w:val="0"/>
          <w:numId w:val="1000"/>
        </w:numPr>
        <w:pStyle w:val="CaptionedFigure"/>
      </w:pPr>
      <w:bookmarkStart w:id="57" w:name="fig:014"/>
      <w:r>
        <w:drawing>
          <wp:inline>
            <wp:extent cx="3817620" cy="3695700"/>
            <wp:effectExtent b="0" l="0" r="0" t="0"/>
            <wp:docPr descr="Figure 14: Разделение фреймов" title="" id="1" name="Picture"/>
            <a:graphic>
              <a:graphicData uri="http://schemas.openxmlformats.org/drawingml/2006/picture">
                <pic:pic>
                  <pic:nvPicPr>
                    <pic:cNvPr descr="screens\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Figure 14: Разделение фреймов</w:t>
      </w:r>
    </w:p>
    <w:p>
      <w:pPr>
        <w:pStyle w:val="Heading1"/>
      </w:pPr>
      <w:bookmarkStart w:id="58" w:name="выводы"/>
      <w:r>
        <w:t xml:space="preserve">Выводы</w:t>
      </w:r>
      <w:bookmarkEnd w:id="58"/>
    </w:p>
    <w:p>
      <w:pPr>
        <w:pStyle w:val="FirstParagraph"/>
      </w:pPr>
      <w:r>
        <w:t xml:space="preserve">В процессе работы над лабораторной работы были получены навыки работы с редактором emacs и освоены команды для редактирования файлов и навигации по ним.</w:t>
      </w:r>
    </w:p>
    <w:p>
      <w:pPr>
        <w:pStyle w:val="Heading1"/>
      </w:pPr>
      <w:bookmarkStart w:id="59" w:name="библиография"/>
      <w:r>
        <w:t xml:space="preserve">Библиография</w:t>
      </w:r>
      <w:bookmarkEnd w:id="59"/>
    </w:p>
    <w:p>
      <w:pPr>
        <w:numPr>
          <w:ilvl w:val="0"/>
          <w:numId w:val="1008"/>
        </w:numPr>
      </w:pPr>
      <w:r>
        <w:t xml:space="preserve">https://docs.altlinux.org/ru-RU/archive/2.3/html-single/junior/alt-docs-extras-linuxnovice/ch02s10.html</w:t>
      </w:r>
    </w:p>
    <w:p>
      <w:pPr>
        <w:numPr>
          <w:ilvl w:val="0"/>
          <w:numId w:val="1008"/>
        </w:numPr>
      </w:pPr>
      <w:r>
        <w:t xml:space="preserve">https://habr.com/ru/post/190790/</w:t>
      </w:r>
    </w:p>
    <w:p>
      <w:pPr>
        <w:numPr>
          <w:ilvl w:val="0"/>
          <w:numId w:val="1008"/>
        </w:numPr>
      </w:pPr>
      <w:r>
        <w:t xml:space="preserve"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10</dc:title>
  <dc:creator>Шалыгин Георгий Эдуардович, НФИбд-02-20</dc:creator>
  <dc:language>ru-RU</dc:language>
  <cp:keywords/>
  <dcterms:created xsi:type="dcterms:W3CDTF">2021-05-22T16:59:58Z</dcterms:created>
  <dcterms:modified xsi:type="dcterms:W3CDTF">2021-05-22T16:59:58Z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Текстовой редактор emacs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