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</w:p>
    <w:p>
      <w:pPr>
        <w:pStyle w:val="BodyText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</w:p>
    <w:p>
      <w:pPr>
        <w:pStyle w:val="BodyText"/>
      </w:pPr>
      <w:r>
        <w:rPr>
          <w:bCs/>
          <w:b/>
        </w:rPr>
        <w:t xml:space="preserve">Это происходит в следующем порядке:</w:t>
      </w:r>
    </w:p>
    <w:p>
      <w:pPr>
        <w:numPr>
          <w:ilvl w:val="0"/>
          <w:numId w:val="1001"/>
        </w:numPr>
        <w:pStyle w:val="Compact"/>
      </w:pPr>
      <w:r>
        <w:t xml:space="preserve">Оболочка проверяет, являетесь ли вы владельцем файла, к которому вы хотите получить доступ. Если вы являетесь этим владельцем, вы получаете разрешения и оболочка прекращает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владельцем файла, оболочка проверит, являетесь ли вы участником группы, у которой есть разрешения на этот файл. Если вы являетесь участником этой группы, вы получаете доступ к файлу с разрешениями, которые для группы установлены, и оболочка прекратит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ни пользователем, ни владельцем группы, вы получаете права других пользователей (Other).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Start w:id="21" w:name="изменение-владельца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Изменение владельца</w:t>
      </w:r>
    </w:p>
    <w:p>
      <w:pPr>
        <w:pStyle w:val="FirstParagraph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bCs/>
          <w:b/>
        </w:rPr>
        <w:t xml:space="preserve">chown</w:t>
      </w:r>
      <w:r>
        <w:t xml:space="preserve">. Синтаксис этой команды несложен для понимания:</w:t>
      </w:r>
    </w:p>
    <w:p>
      <w:pPr>
        <w:pStyle w:val="SourceCode"/>
      </w:pPr>
      <w:r>
        <w:rPr>
          <w:rStyle w:val="VerbatimChar"/>
        </w:rPr>
        <w:t xml:space="preserve">chown кто что</w:t>
      </w:r>
    </w:p>
    <w:p>
      <w:pPr>
        <w:pStyle w:val="FirstParagraph"/>
      </w:pPr>
      <w:r>
        <w:t xml:space="preserve">Например, следующая команда меняет владельца каталога /home/account на пользователя linda:</w:t>
      </w:r>
    </w:p>
    <w:p>
      <w:pPr>
        <w:pStyle w:val="SourceCode"/>
      </w:pPr>
      <w:r>
        <w:rPr>
          <w:rStyle w:val="VerbatimChar"/>
        </w:rPr>
        <w:t xml:space="preserve">chown linda /home/account</w:t>
      </w:r>
    </w:p>
    <w:bookmarkEnd w:id="21"/>
    <w:bookmarkStart w:id="22" w:name="использование-c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Использование chmod</w:t>
      </w:r>
    </w:p>
    <w:p>
      <w:pPr>
        <w:pStyle w:val="FirstParagraph"/>
      </w:pPr>
      <w:r>
        <w:t xml:space="preserve">Для управления правами используется команда</w:t>
      </w:r>
      <w:r>
        <w:t xml:space="preserve"> </w:t>
      </w:r>
      <w:r>
        <w:rPr>
          <w:bCs/>
          <w:b/>
        </w:rPr>
        <w:t xml:space="preserve">chmod</w:t>
      </w:r>
      <w:r>
        <w:t xml:space="preserve">. При использовании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разрешений.</w:t>
      </w:r>
    </w:p>
    <w:p>
      <w:pPr>
        <w:pStyle w:val="BodyText"/>
      </w:pPr>
      <w:r>
        <w:t xml:space="preserve">При настройке разрешений рассчитайте необходимое вам значение. Если вы хотите установить чтение, запись и выполнение для пользователя, чтение и выполнение для группы, а также чтение и выполнение для других в файле /somefile, то вы используете следующую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chmod 755 /somefile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уч. запись guest и guest2. пароль. Добавим пользователя guest2 в группу guest. Определим домашние каталоги для пользователей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06120"/>
            <wp:effectExtent b="0" l="0" r="0" t="0"/>
            <wp:docPr descr="Домашние каталоги" title="" id="25" name="Picture"/>
            <a:graphic>
              <a:graphicData uri="http://schemas.openxmlformats.org/drawingml/2006/picture">
                <pic:pic>
                  <pic:nvPicPr>
                    <pic:cNvPr descr="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Домашние каталоги</w:t>
      </w:r>
    </w:p>
    <w:p>
      <w:pPr>
        <w:numPr>
          <w:ilvl w:val="0"/>
          <w:numId w:val="1002"/>
        </w:numPr>
      </w:pPr>
      <w:r>
        <w:t xml:space="preserve">Уточним имя вашего пользователя, его группу, а также группы, куда входит пользователь, командой id (fig:002).</w:t>
      </w:r>
    </w:p>
    <w:p>
      <w:pPr>
        <w:numPr>
          <w:ilvl w:val="0"/>
          <w:numId w:val="1000"/>
        </w:numPr>
      </w:pPr>
      <w:r>
        <w:t xml:space="preserve">Видим, что пользователь guest входит в группу guest с id=1001.</w:t>
      </w:r>
    </w:p>
    <w:p>
      <w:pPr>
        <w:numPr>
          <w:ilvl w:val="0"/>
          <w:numId w:val="1000"/>
        </w:numPr>
      </w:pPr>
      <w:r>
        <w:t xml:space="preserve">Пользователь guest2 имеет id=1002 и входит так же в группу (кроме 1002) guest с id=1001.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06120"/>
            <wp:effectExtent b="0" l="0" r="0" t="0"/>
            <wp:docPr descr="Группы доступа пользователей" title="" id="27" name="Picture"/>
            <a:graphic>
              <a:graphicData uri="http://schemas.openxmlformats.org/drawingml/2006/picture">
                <pic:pic>
                  <pic:nvPicPr>
                    <pic:cNvPr descr="image\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Группы доступа пользователей</w:t>
      </w:r>
    </w:p>
    <w:p>
      <w:pPr>
        <w:numPr>
          <w:ilvl w:val="0"/>
          <w:numId w:val="1002"/>
        </w:numPr>
      </w:pPr>
      <w:r>
        <w:t xml:space="preserve">В файле etc/passwd найдем ту же информацию о группах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96665" cy="445673"/>
            <wp:effectExtent b="0" l="0" r="0" t="0"/>
            <wp:docPr descr="etc/passwd" title="" id="30" name="Picture"/>
            <a:graphic>
              <a:graphicData uri="http://schemas.openxmlformats.org/drawingml/2006/picture">
                <pic:pic>
                  <pic:nvPicPr>
                    <pic:cNvPr descr="image\1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etc/passwd</w:t>
      </w:r>
    </w:p>
    <w:p>
      <w:pPr>
        <w:numPr>
          <w:ilvl w:val="0"/>
          <w:numId w:val="1002"/>
        </w:numPr>
      </w:pPr>
      <w:r>
        <w:t xml:space="preserve">От имени пользователя guest2 выполним регистрацию пользователя guest2 в группе guest командой newgrp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43630" cy="422621"/>
            <wp:effectExtent b="0" l="0" r="0" t="0"/>
            <wp:docPr descr="Регистрация guest2" title="" id="33" name="Picture"/>
            <a:graphic>
              <a:graphicData uri="http://schemas.openxmlformats.org/drawingml/2006/picture">
                <pic:pic>
                  <pic:nvPicPr>
                    <pic:cNvPr descr="image\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Регистрация guest2</w:t>
      </w:r>
    </w:p>
    <w:p>
      <w:pPr>
        <w:numPr>
          <w:ilvl w:val="0"/>
          <w:numId w:val="1002"/>
        </w:numPr>
      </w:pPr>
      <w:r>
        <w:t xml:space="preserve">Заполним таблицу доступа. Ниже guest2 отказано в доступе к директории, доступ к которой изменен guest на 000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18451"/>
            <wp:effectExtent b="0" l="0" r="0" t="0"/>
            <wp:docPr descr="Права для новой директории" title="" id="36" name="Picture"/>
            <a:graphic>
              <a:graphicData uri="http://schemas.openxmlformats.org/drawingml/2006/picture">
                <pic:pic>
                  <pic:nvPicPr>
                    <pic:cNvPr descr="image\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Права для новой директории</w:t>
      </w:r>
    </w:p>
    <w:p>
      <w:pPr>
        <w:numPr>
          <w:ilvl w:val="0"/>
          <w:numId w:val="1002"/>
        </w:numPr>
      </w:pPr>
      <w:r>
        <w:t xml:space="preserve">Поочередно меняя права доступа для директории и файла заполним таблицу: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2"/>
        </w:numPr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Ind w:w="720" w:type="dxa"/>
      </w:tblPr>
      <w:tblGrid>
        <w:gridCol w:w="2205"/>
        <w:gridCol w:w="3208"/>
        <w:gridCol w:w="25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практические навыки работы в консоли с атрибутами файлов для групп пользователей.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0" w:name="ref-l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Кетов Д.В.</w:t>
      </w:r>
      <w:r>
        <w:t xml:space="preserve"> </w:t>
      </w:r>
      <w:r>
        <w:t xml:space="preserve">Внутреннее устройство Linux</w:t>
      </w:r>
      <w:r>
        <w:t xml:space="preserve">. BHV, 2017. 124 с.</w:t>
      </w:r>
    </w:p>
    <w:bookmarkEnd w:id="40"/>
    <w:bookmarkStart w:id="41" w:name="ref-do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Л. М. Ухлинов.</w:t>
      </w:r>
      <w:r>
        <w:t xml:space="preserve"> </w:t>
      </w:r>
      <w:r>
        <w:t xml:space="preserve">Управление доступом в ОС GNU /Linux</w:t>
      </w:r>
      <w:r>
        <w:t xml:space="preserve"> </w:t>
      </w:r>
      <w:r>
        <w:t xml:space="preserve">. ОКБ САПР», Москва, Россия, 2010.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Шалыгин Георгий Эдуардович</dc:creator>
  <dc:language>ru-RU</dc:language>
  <cp:keywords/>
  <dcterms:created xsi:type="dcterms:W3CDTF">2023-09-22T22:42:32Z</dcterms:created>
  <dcterms:modified xsi:type="dcterms:W3CDTF">2023-09-22T22:42:32Z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