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Элементы</w:t>
      </w:r>
      <w:r>
        <w:t xml:space="preserve"> </w:t>
      </w:r>
      <w:r>
        <w:t xml:space="preserve">криптографии.</w:t>
      </w:r>
      <w:r>
        <w:t xml:space="preserve"> </w:t>
      </w:r>
      <w:r>
        <w:t xml:space="preserve">Шифрование</w:t>
      </w:r>
      <w:r>
        <w:t xml:space="preserve"> </w:t>
      </w:r>
      <w:r>
        <w:t xml:space="preserve">(кодирование)</w:t>
      </w:r>
      <w:r>
        <w:t xml:space="preserve"> </w:t>
      </w:r>
      <w:r>
        <w:t xml:space="preserve">различных</w:t>
      </w:r>
      <w:r>
        <w:t xml:space="preserve"> </w:t>
      </w:r>
      <w:r>
        <w:t xml:space="preserve">исходных</w:t>
      </w:r>
      <w:r>
        <w:t xml:space="preserve"> </w:t>
      </w:r>
      <w:r>
        <w:t xml:space="preserve">текстов</w:t>
      </w:r>
      <w:r>
        <w:t xml:space="preserve"> </w:t>
      </w:r>
      <w:r>
        <w:t xml:space="preserve">одним</w:t>
      </w:r>
      <w:r>
        <w:t xml:space="preserve"> </w:t>
      </w:r>
      <w:r>
        <w:t xml:space="preserve">ключом</w:t>
      </w:r>
    </w:p>
    <w:p>
      <w:pPr>
        <w:pStyle w:val="Author"/>
      </w:pPr>
      <w:r>
        <w:t xml:space="preserve">Шалыгин</w:t>
      </w:r>
      <w:r>
        <w:t xml:space="preserve"> </w:t>
      </w:r>
      <w:r>
        <w:t xml:space="preserve">Георгий</w:t>
      </w:r>
      <w:r>
        <w:t xml:space="preserve"> </w:t>
      </w:r>
      <w:r>
        <w:t xml:space="preserve">Эдуардович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 на примере кодирования различных исходных текстов одним ключом.</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Гамми́рование, или Шифр XOR, — метод симметричного шифрования, заключающийся в «наложении» последовательности, состоящей из случайных чисел, на открытый текст. Последовательность случайных чисел называется гамма-последовательностью и используется для зашифровывания и расшифровывания данных. Суммирование обычно выполняется в каком-либо конечном поле. Например, в поле Галуа</w:t>
      </w:r>
      <w:r>
        <w:t xml:space="preserve"> </w:t>
      </w:r>
      <m:oMath>
        <m:r>
          <m:t>G</m:t>
        </m:r>
        <m:r>
          <m:t>F</m:t>
        </m:r>
        <m:d>
          <m:dPr>
            <m:begChr m:val="("/>
            <m:endChr m:val=")"/>
            <m:sepChr m:val=""/>
            <m:grow/>
          </m:dPr>
          <m:e>
            <m:r>
              <m:t>2</m:t>
            </m:r>
          </m:e>
        </m:d>
      </m:oMath>
      <w:r>
        <w:t xml:space="preserve"> </w:t>
      </w:r>
      <w:r>
        <w:t xml:space="preserve">суммирование принимает вид операции «исключающее ИЛИ (XOR)».</w:t>
      </w:r>
    </w:p>
    <w:p>
      <w:pPr>
        <w:pStyle w:val="BodyText"/>
      </w:pPr>
      <w:r>
        <w:t xml:space="preserve">Для шифрования каждого нового сообщения нужно использовать новую гамму. Повторное использование гаммы недопустимо ввиду свойств операции «xor». Рассмотрим пример: с помощью одинаковой гаммы Y зашифрованы два открытых текста</w:t>
      </w:r>
      <w:r>
        <w:t xml:space="preserve"> </w:t>
      </w:r>
      <m:oMath>
        <m:sSub>
          <m:e>
            <m:r>
              <m:t>X</m:t>
            </m:r>
          </m:e>
          <m:sub>
            <m:r>
              <m:t>1</m:t>
            </m:r>
          </m:sub>
        </m:sSub>
      </m:oMath>
      <w:r>
        <w:t xml:space="preserve"> </w:t>
      </w:r>
      <w:r>
        <w:t xml:space="preserve">и</w:t>
      </w:r>
      <w:r>
        <w:t xml:space="preserve"> </w:t>
      </w:r>
      <m:oMath>
        <m:sSub>
          <m:e>
            <m:r>
              <m:t>X</m:t>
            </m:r>
          </m:e>
          <m:sub>
            <m:r>
              <m:t>2</m:t>
            </m:r>
          </m:sub>
        </m:sSub>
      </m:oMath>
      <w:r>
        <w:t xml:space="preserve">, получено две шифрограммы</w:t>
      </w:r>
      <w:r>
        <w:t xml:space="preserve"> </w:t>
      </w:r>
      <m:oMath>
        <m:sSub>
          <m:e>
            <m:r>
              <m:t>Z</m:t>
            </m:r>
          </m:e>
          <m:sub>
            <m:r>
              <m:t>1</m:t>
            </m:r>
          </m:sub>
        </m:sSub>
      </m:oMath>
      <w:r>
        <w:t xml:space="preserve"> </w:t>
      </w:r>
      <w:r>
        <w:t xml:space="preserve">и</w:t>
      </w:r>
      <w:r>
        <w:t xml:space="preserve"> </w:t>
      </w:r>
      <m:oMath>
        <m:sSub>
          <m:e>
            <m:r>
              <m:t>Z</m:t>
            </m:r>
          </m:e>
          <m:sub>
            <m:r>
              <m:t>2</m:t>
            </m:r>
          </m:sub>
        </m:sSub>
      </m:oMath>
      <w:r>
        <w:t xml:space="preserve">:</w:t>
      </w:r>
    </w:p>
    <w:p>
      <w:pPr>
        <w:pStyle w:val="BodyText"/>
      </w:pPr>
      <m:oMath>
        <m:sSub>
          <m:e>
            <m:r>
              <m:t>Z</m:t>
            </m:r>
          </m:e>
          <m:sub>
            <m:r>
              <m:t>1</m:t>
            </m:r>
          </m:sub>
        </m:sSub>
        <m:r>
          <m:rPr>
            <m:sty m:val="p"/>
          </m:rPr>
          <m:t>=</m:t>
        </m:r>
        <m:sSub>
          <m:e>
            <m:r>
              <m:t>X</m:t>
            </m:r>
          </m:e>
          <m:sub>
            <m:r>
              <m:t>1</m:t>
            </m:r>
          </m:sub>
        </m:sSub>
        <m:r>
          <m:rPr>
            <m:sty m:val="p"/>
          </m:rPr>
          <m:t>⊕</m:t>
        </m:r>
        <m:r>
          <m:t>Y</m:t>
        </m:r>
      </m:oMath>
    </w:p>
    <w:p>
      <w:pPr>
        <w:pStyle w:val="BodyText"/>
      </w:pPr>
      <m:oMath>
        <m:sSub>
          <m:e>
            <m:r>
              <m:t>Z</m:t>
            </m:r>
          </m:e>
          <m:sub>
            <m:r>
              <m:t>2</m:t>
            </m:r>
          </m:sub>
        </m:sSub>
        <m:r>
          <m:rPr>
            <m:sty m:val="p"/>
          </m:rPr>
          <m:t>=</m:t>
        </m:r>
        <m:sSub>
          <m:e>
            <m:r>
              <m:t>X</m:t>
            </m:r>
          </m:e>
          <m:sub>
            <m:r>
              <m:t>2</m:t>
            </m:r>
          </m:sub>
        </m:sSub>
        <m:r>
          <m:rPr>
            <m:sty m:val="p"/>
          </m:rPr>
          <m:t>⊕</m:t>
        </m:r>
        <m:r>
          <m:t>Y</m:t>
        </m:r>
      </m:oMath>
    </w:p>
    <w:p>
      <w:pPr>
        <w:pStyle w:val="BodyText"/>
      </w:pPr>
      <w:r>
        <w:t xml:space="preserve">Выполним сложение двух шифрограмм, используя операцию xor:</w:t>
      </w:r>
    </w:p>
    <w:p>
      <w:pPr>
        <w:pStyle w:val="BodyText"/>
      </w:pPr>
      <m:oMath>
        <m:sSub>
          <m:e>
            <m:r>
              <m:t>Z</m:t>
            </m:r>
          </m:e>
          <m:sub>
            <m:r>
              <m:t>1</m:t>
            </m:r>
          </m:sub>
        </m:sSub>
        <m:r>
          <m:rPr>
            <m:sty m:val="p"/>
          </m:rPr>
          <m:t>⊕</m:t>
        </m:r>
        <m:sSub>
          <m:e>
            <m:r>
              <m:t>Z</m:t>
            </m:r>
          </m:e>
          <m:sub>
            <m:r>
              <m:t>2</m:t>
            </m:r>
          </m:sub>
        </m:sSub>
        <m:r>
          <m:rPr>
            <m:sty m:val="p"/>
          </m:rPr>
          <m:t>=</m:t>
        </m:r>
        <m:d>
          <m:dPr>
            <m:begChr m:val="("/>
            <m:endChr m:val=")"/>
            <m:sepChr m:val=""/>
            <m:grow/>
          </m:dPr>
          <m:e>
            <m:sSub>
              <m:e>
                <m:r>
                  <m:t>X</m:t>
                </m:r>
              </m:e>
              <m:sub>
                <m:r>
                  <m:t>1</m:t>
                </m:r>
              </m:sub>
            </m:sSub>
            <m:r>
              <m:rPr>
                <m:sty m:val="p"/>
              </m:rPr>
              <m:t>⊕</m:t>
            </m:r>
            <m:r>
              <m:t>Y</m:t>
            </m:r>
          </m:e>
        </m:d>
        <m:r>
          <m:rPr>
            <m:sty m:val="p"/>
          </m:rPr>
          <m:t>⊕</m:t>
        </m:r>
        <m:d>
          <m:dPr>
            <m:begChr m:val="("/>
            <m:endChr m:val=")"/>
            <m:sepChr m:val=""/>
            <m:grow/>
          </m:dPr>
          <m:e>
            <m:sSub>
              <m:e>
                <m:r>
                  <m:t>X</m:t>
                </m:r>
              </m:e>
              <m:sub>
                <m:r>
                  <m:t>2</m:t>
                </m:r>
              </m:sub>
            </m:sSub>
            <m:r>
              <m:rPr>
                <m:sty m:val="p"/>
              </m:rPr>
              <m:t>⊕</m:t>
            </m:r>
            <m:r>
              <m:t>Y</m:t>
            </m:r>
          </m:e>
        </m:d>
        <m:r>
          <m:rPr>
            <m:sty m:val="p"/>
          </m:rPr>
          <m:t>=</m:t>
        </m:r>
        <m:sSub>
          <m:e>
            <m:r>
              <m:t>X</m:t>
            </m:r>
          </m:e>
          <m:sub>
            <m:r>
              <m:t>1</m:t>
            </m:r>
          </m:sub>
        </m:sSub>
        <m:r>
          <m:rPr>
            <m:sty m:val="p"/>
          </m:rPr>
          <m:t>⊕</m:t>
        </m:r>
        <m:sSub>
          <m:e>
            <m:r>
              <m:t>X</m:t>
            </m:r>
          </m:e>
          <m:sub>
            <m:r>
              <m:t>2</m:t>
            </m:r>
          </m:sub>
        </m:sSub>
      </m:oMath>
    </w:p>
    <w:p>
      <w:pPr>
        <w:pStyle w:val="BodyText"/>
      </w:pPr>
      <w:r>
        <w:t xml:space="preserve">Результат зависит от открытых текстов</w:t>
      </w:r>
      <w:r>
        <w:t xml:space="preserve"> </w:t>
      </w:r>
      <m:oMath>
        <m:sSub>
          <m:e>
            <m:r>
              <m:t>X</m:t>
            </m:r>
          </m:e>
          <m:sub>
            <m:r>
              <m:t>1</m:t>
            </m:r>
          </m:sub>
        </m:sSub>
      </m:oMath>
      <w:r>
        <w:t xml:space="preserve"> </w:t>
      </w:r>
      <w:r>
        <w:t xml:space="preserve">и</w:t>
      </w:r>
      <w:r>
        <w:t xml:space="preserve"> </w:t>
      </w:r>
      <m:oMath>
        <m:sSub>
          <m:e>
            <m:r>
              <m:t>X</m:t>
            </m:r>
          </m:e>
          <m:sub>
            <m:r>
              <m:t>2</m:t>
            </m:r>
          </m:sub>
        </m:sSub>
      </m:oMath>
      <w:r>
        <w:t xml:space="preserve"> </w:t>
      </w:r>
      <w:r>
        <w:t xml:space="preserve">и не зависит от гаммы</w:t>
      </w:r>
      <w:r>
        <w:t xml:space="preserve"> </w:t>
      </w:r>
      <m:oMath>
        <m:r>
          <m:t>Y</m:t>
        </m:r>
      </m:oMath>
      <w:r>
        <w:t xml:space="preserve">. Ввиду избыточности естественных языков результат поддаётся частотному анализу, то есть открытые тексты можно подобрать, не зная гамму</w:t>
      </w:r>
      <w:r>
        <w:t xml:space="preserve"> </w:t>
      </w:r>
      <m:oMath>
        <m:r>
          <m:t>Y</m:t>
        </m:r>
      </m:oMath>
      <w:r>
        <w:t xml:space="preserve">.</w:t>
      </w:r>
    </w:p>
    <w:p>
      <w:pPr>
        <w:pStyle w:val="BodyText"/>
      </w:pPr>
      <w:r>
        <w:t xml:space="preserve">Для формирования гаммы (последовательности псевдослучайных чисел) нужно использовать аппаратные генераторы случайных чисел, основанные на физических процессах. Если гамма не будет случайной, для получения открытого текста потребуется подобрать только начальное состояние (англ. seed) генератора псевдослучайных чисел. Длина гаммы должна быть не меньше длины защищаемого сообщения (открытого текста). В противном случае для получения открытого текста потребуется подобрать длину гаммы, проанализировать блоки шифротекста угаданной длины, подобрать биты гаммы.</w:t>
      </w:r>
    </w:p>
    <w:p>
      <w:pPr>
        <w:pStyle w:val="BodyText"/>
      </w:pPr>
      <w:r>
        <w:t xml:space="preserve">Подробнее</w:t>
      </w:r>
      <w:r>
        <w:t xml:space="preserve"> </w:t>
      </w:r>
      <w:r>
        <w:t xml:space="preserve">[2]</w:t>
      </w:r>
      <w:r>
        <w:t xml:space="preserve">.</w:t>
      </w:r>
    </w:p>
    <w:bookmarkEnd w:id="21"/>
    <w:bookmarkStart w:id="31"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Pr>
      <w:r>
        <w:t xml:space="preserve">Напишем функцию наложения гаммы (fig. 1).</w:t>
      </w:r>
    </w:p>
    <w:p>
      <w:pPr>
        <w:numPr>
          <w:ilvl w:val="0"/>
          <w:numId w:val="1000"/>
        </w:numPr>
        <w:pStyle w:val="CaptionedFigure"/>
      </w:pPr>
      <w:r>
        <w:drawing>
          <wp:inline>
            <wp:extent cx="3733800" cy="1366175"/>
            <wp:effectExtent b="0" l="0" r="0" t="0"/>
            <wp:docPr descr="Функция гаммирования"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366175"/>
                    </a:xfrm>
                    <a:prstGeom prst="rect">
                      <a:avLst/>
                    </a:prstGeom>
                    <a:noFill/>
                    <a:ln w="9525">
                      <a:noFill/>
                      <a:headEnd/>
                      <a:tailEnd/>
                    </a:ln>
                  </pic:spPr>
                </pic:pic>
              </a:graphicData>
            </a:graphic>
          </wp:inline>
        </w:drawing>
      </w:r>
    </w:p>
    <w:p>
      <w:pPr>
        <w:numPr>
          <w:ilvl w:val="0"/>
          <w:numId w:val="1000"/>
        </w:numPr>
        <w:pStyle w:val="ImageCaption"/>
      </w:pPr>
      <w:r>
        <w:t xml:space="preserve">Рис. 1: Функция гаммирования</w:t>
      </w:r>
    </w:p>
    <w:p>
      <w:pPr>
        <w:numPr>
          <w:ilvl w:val="0"/>
          <w:numId w:val="1001"/>
        </w:numPr>
      </w:pPr>
      <w:r>
        <w:t xml:space="preserve">Для тестирования напишем следующий код, расшифровывающий текст без поиска ключа согласно формуле (fig. 2).</w:t>
      </w:r>
    </w:p>
    <w:p>
      <w:pPr>
        <w:numPr>
          <w:ilvl w:val="0"/>
          <w:numId w:val="1000"/>
        </w:numPr>
      </w:pPr>
      <m:oMath>
        <m:sSub>
          <m:e>
            <m:r>
              <m:t>C</m:t>
            </m:r>
          </m:e>
          <m:sub>
            <m:r>
              <m:t>1</m:t>
            </m:r>
          </m:sub>
        </m:sSub>
        <m:r>
          <m:rPr>
            <m:sty m:val="p"/>
          </m:rPr>
          <m:t>⊕</m:t>
        </m:r>
        <m:sSub>
          <m:e>
            <m:r>
              <m:t>C</m:t>
            </m:r>
          </m:e>
          <m:sub>
            <m:r>
              <m:t>2</m:t>
            </m:r>
          </m:sub>
        </m:sSub>
        <m:r>
          <m:rPr>
            <m:sty m:val="p"/>
          </m:rPr>
          <m:t>⊕</m:t>
        </m:r>
        <m:sSub>
          <m:e>
            <m:r>
              <m:t>P</m:t>
            </m:r>
          </m:e>
          <m:sub>
            <m:r>
              <m:t>2</m:t>
            </m:r>
          </m:sub>
        </m:sSub>
        <m:r>
          <m:rPr>
            <m:sty m:val="p"/>
          </m:rPr>
          <m:t>=</m:t>
        </m:r>
        <m:d>
          <m:dPr>
            <m:begChr m:val="("/>
            <m:endChr m:val=")"/>
            <m:sepChr m:val=""/>
            <m:grow/>
          </m:dPr>
          <m:e>
            <m:sSub>
              <m:e>
                <m:r>
                  <m:t>P</m:t>
                </m:r>
              </m:e>
              <m:sub>
                <m:r>
                  <m:t>1</m:t>
                </m:r>
              </m:sub>
            </m:sSub>
            <m:r>
              <m:rPr>
                <m:sty m:val="p"/>
              </m:rPr>
              <m:t>⊕</m:t>
            </m:r>
            <m:r>
              <m:t>Y</m:t>
            </m:r>
          </m:e>
        </m:d>
        <m:r>
          <m:rPr>
            <m:sty m:val="p"/>
          </m:rPr>
          <m:t>⊕</m:t>
        </m:r>
        <m:d>
          <m:dPr>
            <m:begChr m:val="("/>
            <m:endChr m:val=")"/>
            <m:sepChr m:val=""/>
            <m:grow/>
          </m:dPr>
          <m:e>
            <m:sSub>
              <m:e>
                <m:r>
                  <m:t>P</m:t>
                </m:r>
              </m:e>
              <m:sub>
                <m:r>
                  <m:t>2</m:t>
                </m:r>
              </m:sub>
            </m:sSub>
            <m:r>
              <m:rPr>
                <m:sty m:val="p"/>
              </m:rPr>
              <m:t>⊕</m:t>
            </m:r>
            <m:r>
              <m:t>Y</m:t>
            </m:r>
          </m:e>
        </m:d>
        <m:r>
          <m:rPr>
            <m:sty m:val="p"/>
          </m:rPr>
          <m:t>⊕</m:t>
        </m:r>
        <m:d>
          <m:dPr>
            <m:begChr m:val="("/>
            <m:endChr m:val=")"/>
            <m:sepChr m:val=""/>
            <m:grow/>
          </m:dPr>
          <m:e>
            <m:sSub>
              <m:e>
                <m:r>
                  <m:t>P</m:t>
                </m:r>
              </m:e>
              <m:sub>
                <m:r>
                  <m:t>2</m:t>
                </m:r>
              </m:sub>
            </m:sSub>
            <m:r>
              <m:rPr>
                <m:sty m:val="p"/>
              </m:rPr>
              <m:t>⊕</m:t>
            </m:r>
            <m:r>
              <m:t>Y</m:t>
            </m:r>
          </m:e>
        </m:d>
        <m:r>
          <m:rPr>
            <m:sty m:val="p"/>
          </m:rPr>
          <m:t>=</m:t>
        </m:r>
        <m:sSub>
          <m:e>
            <m:r>
              <m:t>P</m:t>
            </m:r>
          </m:e>
          <m:sub>
            <m:r>
              <m:t>1</m:t>
            </m:r>
          </m:sub>
        </m:sSub>
        <m:r>
          <m:rPr>
            <m:sty m:val="p"/>
          </m:rPr>
          <m:t>⊕</m:t>
        </m:r>
        <m:sSub>
          <m:e>
            <m:r>
              <m:t>P</m:t>
            </m:r>
          </m:e>
          <m:sub>
            <m:r>
              <m:t>2</m:t>
            </m:r>
          </m:sub>
        </m:sSub>
        <m:r>
          <m:rPr>
            <m:sty m:val="p"/>
          </m:rPr>
          <m:t>⊕</m:t>
        </m:r>
        <m:sSub>
          <m:e>
            <m:r>
              <m:t>P</m:t>
            </m:r>
          </m:e>
          <m:sub>
            <m:r>
              <m:t>2</m:t>
            </m:r>
          </m:sub>
        </m:sSub>
        <m:r>
          <m:rPr>
            <m:sty m:val="p"/>
          </m:rPr>
          <m:t>=</m:t>
        </m:r>
        <m:sSub>
          <m:e>
            <m:r>
              <m:t>P</m:t>
            </m:r>
          </m:e>
          <m:sub>
            <m:r>
              <m:t>1</m:t>
            </m:r>
          </m:sub>
        </m:sSub>
      </m:oMath>
    </w:p>
    <w:p>
      <w:pPr>
        <w:numPr>
          <w:ilvl w:val="0"/>
          <w:numId w:val="1001"/>
        </w:numPr>
        <w:pStyle w:val="CaptionedFigure"/>
      </w:pPr>
      <w:r>
        <w:drawing>
          <wp:inline>
            <wp:extent cx="3733800" cy="1589693"/>
            <wp:effectExtent b="0" l="0" r="0" t="0"/>
            <wp:docPr descr="Тестирующий код"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589693"/>
                    </a:xfrm>
                    <a:prstGeom prst="rect">
                      <a:avLst/>
                    </a:prstGeom>
                    <a:noFill/>
                    <a:ln w="9525">
                      <a:noFill/>
                      <a:headEnd/>
                      <a:tailEnd/>
                    </a:ln>
                  </pic:spPr>
                </pic:pic>
              </a:graphicData>
            </a:graphic>
          </wp:inline>
        </w:drawing>
      </w:r>
    </w:p>
    <w:p>
      <w:pPr>
        <w:numPr>
          <w:ilvl w:val="0"/>
          <w:numId w:val="1000"/>
        </w:numPr>
        <w:pStyle w:val="ImageCaption"/>
      </w:pPr>
      <w:r>
        <w:t xml:space="preserve">Рис. 2: Тестирующий код</w:t>
      </w:r>
    </w:p>
    <w:p>
      <w:pPr>
        <w:numPr>
          <w:ilvl w:val="0"/>
          <w:numId w:val="1001"/>
        </w:numPr>
      </w:pPr>
      <w:r>
        <w:t xml:space="preserve">Убедимся в корректности результатов выполнения программы(fig. 3).</w:t>
      </w:r>
    </w:p>
    <w:p>
      <w:pPr>
        <w:numPr>
          <w:ilvl w:val="0"/>
          <w:numId w:val="1000"/>
        </w:numPr>
        <w:pStyle w:val="CaptionedFigure"/>
      </w:pPr>
      <w:r>
        <w:drawing>
          <wp:inline>
            <wp:extent cx="3496235" cy="883663"/>
            <wp:effectExtent b="0" l="0" r="0" t="0"/>
            <wp:docPr descr="Результаты выполнения"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496235" cy="883663"/>
                    </a:xfrm>
                    <a:prstGeom prst="rect">
                      <a:avLst/>
                    </a:prstGeom>
                    <a:noFill/>
                    <a:ln w="9525">
                      <a:noFill/>
                      <a:headEnd/>
                      <a:tailEnd/>
                    </a:ln>
                  </pic:spPr>
                </pic:pic>
              </a:graphicData>
            </a:graphic>
          </wp:inline>
        </w:drawing>
      </w:r>
    </w:p>
    <w:p>
      <w:pPr>
        <w:numPr>
          <w:ilvl w:val="0"/>
          <w:numId w:val="1000"/>
        </w:numPr>
        <w:pStyle w:val="ImageCaption"/>
      </w:pPr>
      <w:r>
        <w:t xml:space="preserve">Рис. 3: Результаты выполнения</w:t>
      </w:r>
    </w:p>
    <w:p>
      <w:pPr>
        <w:numPr>
          <w:ilvl w:val="0"/>
          <w:numId w:val="1000"/>
        </w:numPr>
      </w:pPr>
      <w:r>
        <w:t xml:space="preserve">Тексты расшифрованы верно.</w:t>
      </w:r>
    </w:p>
    <w:bookmarkEnd w:id="31"/>
    <w:bookmarkStart w:id="32" w:name="выводы"/>
    <w:p>
      <w:pPr>
        <w:pStyle w:val="Heading1"/>
      </w:pPr>
      <w:r>
        <w:rPr>
          <w:rStyle w:val="SectionNumber"/>
        </w:rPr>
        <w:t xml:space="preserve">4</w:t>
      </w:r>
      <w:r>
        <w:tab/>
      </w:r>
      <w:r>
        <w:t xml:space="preserve">Выводы</w:t>
      </w:r>
    </w:p>
    <w:p>
      <w:pPr>
        <w:pStyle w:val="FirstParagraph"/>
      </w:pPr>
      <w:r>
        <w:t xml:space="preserve">Освоить на практике применение режима однократного гаммирования на примере кодирования различных исходных текстов одним ключом.</w:t>
      </w:r>
    </w:p>
    <w:bookmarkEnd w:id="32"/>
    <w:bookmarkStart w:id="36" w:name="список-литературы"/>
    <w:p>
      <w:pPr>
        <w:pStyle w:val="Heading1"/>
      </w:pPr>
      <w:r>
        <w:t xml:space="preserve">Список литературы</w:t>
      </w:r>
    </w:p>
    <w:bookmarkStart w:id="35" w:name="refs"/>
    <w:bookmarkStart w:id="33" w:name="ref-lin"/>
    <w:p>
      <w:pPr>
        <w:pStyle w:val="Bibliography"/>
      </w:pPr>
      <w:r>
        <w:t xml:space="preserve">1.</w:t>
      </w:r>
      <w:r>
        <w:t xml:space="preserve"> </w:t>
      </w:r>
      <w:r>
        <w:t xml:space="preserve">	</w:t>
      </w:r>
      <w:r>
        <w:t xml:space="preserve">Ященко под ред.</w:t>
      </w:r>
      <w:r>
        <w:t xml:space="preserve"> </w:t>
      </w:r>
      <w:r>
        <w:t xml:space="preserve">Введение в криптографию</w:t>
      </w:r>
      <w:r>
        <w:t xml:space="preserve">. Litres, 2017. 349 с.</w:t>
      </w:r>
    </w:p>
    <w:bookmarkEnd w:id="33"/>
    <w:bookmarkStart w:id="34" w:name="ref-dost"/>
    <w:p>
      <w:pPr>
        <w:pStyle w:val="Bibliography"/>
      </w:pPr>
      <w:r>
        <w:t xml:space="preserve">2.</w:t>
      </w:r>
      <w:r>
        <w:t xml:space="preserve"> </w:t>
      </w:r>
      <w:r>
        <w:t xml:space="preserve">	</w:t>
      </w:r>
      <w:r>
        <w:t xml:space="preserve">Иванов В.</w:t>
      </w:r>
      <w:r>
        <w:t xml:space="preserve"> </w:t>
      </w:r>
      <w:r>
        <w:t xml:space="preserve">Лекции о криптографии.</w:t>
      </w:r>
      <w:r>
        <w:t xml:space="preserve"> </w:t>
      </w:r>
      <w:r>
        <w:t xml:space="preserve">. Яндекс, 2010.</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8</dc:title>
  <dc:creator>Шалыгин Георгий Эдуардович</dc:creator>
  <dc:language>ru-RU</dc:language>
  <cp:keywords/>
  <dcterms:created xsi:type="dcterms:W3CDTF">2023-10-23T12:30:37Z</dcterms:created>
  <dcterms:modified xsi:type="dcterms:W3CDTF">2023-10-23T12:30:37Z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Элементы криптографии. Шифрование (кодирование) различных исходных текстов одним ключом</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