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  <Override PartName="/word/media/rId31.png" ContentType="image/png"/>
  <Override PartName="/word/media/rId34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37.png" ContentType="image/png"/>
  <Override PartName="/word/media/rId40.png" ContentType="image/png"/>
  <Override PartName="/word/media/rId55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построение математической модели боевых действий.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боевых действий между регулярными войсками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ведение боевых действий с участием регулярных войск и партизанских отрядов.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</w:t>
      </w:r>
    </w:p>
    <w:bookmarkEnd w:id="21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остановка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 Х имеет армию численностью 30 000 человек, а в распоряжении страны У армия численностью в 17 000 человек. Для упрощения модели считаем, что коэффициенты a b c h постоянны. Также считаем P(t) и Q(t) непрерывные функции.</w:t>
      </w:r>
    </w:p>
    <w:p>
      <w:pPr>
        <w:pStyle w:val="BodyText"/>
      </w:pPr>
      <w:r>
        <w:t xml:space="preserve">Подробнее в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26" w:name="виды-моделей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Виды моделей</w:t>
      </w:r>
    </w:p>
    <w:bookmarkStart w:id="23" w:name="X37c647783a0d1e0b6274cff853a0d7e99fafdf8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, 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 у и х 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Подробнее в</w:t>
      </w:r>
      <w:r>
        <w:t xml:space="preserve"> </w:t>
      </w:r>
      <w:r>
        <w:t xml:space="preserve">[2]</w:t>
      </w:r>
      <w:r>
        <w:t xml:space="preserve">.</w:t>
      </w:r>
    </w:p>
    <w:bookmarkEnd w:id="23"/>
    <w:bookmarkStart w:id="24" w:name="Xdd09bba6eb496f08f87dd75fd1c466ce50ebd4c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Боевые действия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</w:t>
      </w:r>
    </w:p>
    <w:p>
      <w:pPr>
        <w:pStyle w:val="BodyText"/>
      </w:pPr>
      <w:r>
        <w:t xml:space="preserve">Подробнее в</w:t>
      </w:r>
      <w:r>
        <w:t xml:space="preserve"> </w:t>
      </w:r>
      <w:r>
        <w:t xml:space="preserve">[2]</w:t>
      </w:r>
      <w:r>
        <w:t xml:space="preserve">.</w:t>
      </w:r>
    </w:p>
    <w:bookmarkEnd w:id="24"/>
    <w:bookmarkStart w:id="25" w:name="Xd2b2ffbb5870de27e0b55df1e47bf3f5011aa4c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Боевые действия между партизанскими отрядами</w:t>
      </w:r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Подробнее в</w:t>
      </w:r>
      <w:r>
        <w:t xml:space="preserve"> </w:t>
      </w:r>
      <w:r>
        <w:t xml:space="preserve">[2]</w:t>
      </w:r>
      <w:r>
        <w:t xml:space="preserve">.</w:t>
      </w:r>
    </w:p>
    <w:bookmarkEnd w:id="25"/>
    <w:bookmarkEnd w:id="26"/>
    <w:bookmarkEnd w:id="27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Вариант 27, начальные значения: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88000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99000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Рассмотрим модель боевых действий между регулярными войсками, заданная системой (fig. 1):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912248" cy="1244813"/>
            <wp:effectExtent b="0" l="0" r="0" t="0"/>
            <wp:docPr descr="Уравнения для боевых действий между регулярными войсками" title="" id="29" name="Picture"/>
            <a:graphic>
              <a:graphicData uri="http://schemas.openxmlformats.org/drawingml/2006/picture">
                <pic:pic>
                  <pic:nvPicPr>
                    <pic:cNvPr descr="image\eq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48" cy="124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1: Уравнения для боевых действий между регулярными войсками</w:t>
      </w:r>
    </w:p>
    <w:p>
      <w:pPr>
        <w:numPr>
          <w:ilvl w:val="0"/>
          <w:numId w:val="1002"/>
        </w:numPr>
      </w:pPr>
      <w:r>
        <w:t xml:space="preserve">Зададим систему и начальные условия на Julia (fig. 2).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734200"/>
            <wp:effectExtent b="0" l="0" r="0" t="0"/>
            <wp:docPr descr="Код для первой модели" title="" id="32" name="Picture"/>
            <a:graphic>
              <a:graphicData uri="http://schemas.openxmlformats.org/drawingml/2006/picture">
                <pic:pic>
                  <pic:nvPicPr>
                    <pic:cNvPr descr="image\j0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2: Код для первой модели</w:t>
      </w:r>
    </w:p>
    <w:p>
      <w:pPr>
        <w:numPr>
          <w:ilvl w:val="0"/>
          <w:numId w:val="1002"/>
        </w:numPr>
      </w:pPr>
      <w:r>
        <w:t xml:space="preserve">Построим график изменения численности (fig. 3)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905260"/>
            <wp:effectExtent b="0" l="0" r="0" t="0"/>
            <wp:docPr descr="График для первой модели" title="" id="35" name="Picture"/>
            <a:graphic>
              <a:graphicData uri="http://schemas.openxmlformats.org/drawingml/2006/picture">
                <pic:pic>
                  <pic:nvPicPr>
                    <pic:cNvPr descr="image\j0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3: График для первой модели</w:t>
      </w:r>
    </w:p>
    <w:p>
      <w:pPr>
        <w:numPr>
          <w:ilvl w:val="0"/>
          <w:numId w:val="1002"/>
        </w:numPr>
      </w:pPr>
      <w:r>
        <w:t xml:space="preserve">Теперь зададим модель в Opemmodelica (fig. 4).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016910"/>
            <wp:effectExtent b="0" l="0" r="0" t="0"/>
            <wp:docPr descr="Модель в openmodelica" title="" id="38" name="Picture"/>
            <a:graphic>
              <a:graphicData uri="http://schemas.openxmlformats.org/drawingml/2006/picture">
                <pic:pic>
                  <pic:nvPicPr>
                    <pic:cNvPr descr="image\om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4: Модель в openmodelica</w:t>
      </w:r>
    </w:p>
    <w:p>
      <w:pPr>
        <w:numPr>
          <w:ilvl w:val="0"/>
          <w:numId w:val="1002"/>
        </w:numPr>
      </w:pPr>
      <w:r>
        <w:t xml:space="preserve">Построим график (fig. 5).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459626"/>
            <wp:effectExtent b="0" l="0" r="0" t="0"/>
            <wp:docPr descr="Результаты моделирования в openmodelica" title="" id="41" name="Picture"/>
            <a:graphic>
              <a:graphicData uri="http://schemas.openxmlformats.org/drawingml/2006/picture">
                <pic:pic>
                  <pic:nvPicPr>
                    <pic:cNvPr descr="image\om1g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5: Результаты моделирования в openmodelica</w:t>
      </w:r>
    </w:p>
    <w:p>
      <w:pPr>
        <w:numPr>
          <w:ilvl w:val="0"/>
          <w:numId w:val="1002"/>
        </w:numPr>
      </w:pPr>
      <w:r>
        <w:t xml:space="preserve">Оба графика показывают, что первая армия проигрывает.</w:t>
      </w:r>
    </w:p>
    <w:p>
      <w:pPr>
        <w:numPr>
          <w:ilvl w:val="0"/>
          <w:numId w:val="1002"/>
        </w:numPr>
      </w:pPr>
      <w:r>
        <w:t xml:space="preserve">Рассмотрим модель боевых действий между регулярными войсками и партизанами, заданная системой (fig. 6):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357922" cy="1198709"/>
            <wp:effectExtent b="0" l="0" r="0" t="0"/>
            <wp:docPr descr="Уравнения для боевых действий между регулярными войсками и партизанами" title="" id="44" name="Picture"/>
            <a:graphic>
              <a:graphicData uri="http://schemas.openxmlformats.org/drawingml/2006/picture">
                <pic:pic>
                  <pic:nvPicPr>
                    <pic:cNvPr descr="image\eq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2" cy="119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6: Уравнения для боевых действий между регулярными войсками и партизанами</w:t>
      </w:r>
    </w:p>
    <w:p>
      <w:pPr>
        <w:numPr>
          <w:ilvl w:val="0"/>
          <w:numId w:val="1002"/>
        </w:numPr>
      </w:pPr>
      <w:r>
        <w:t xml:space="preserve">Система уравнений в Julia (fig. 7).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725270"/>
            <wp:effectExtent b="0" l="0" r="0" t="0"/>
            <wp:docPr descr="Код для второй модели" title="" id="47" name="Picture"/>
            <a:graphic>
              <a:graphicData uri="http://schemas.openxmlformats.org/drawingml/2006/picture">
                <pic:pic>
                  <pic:nvPicPr>
                    <pic:cNvPr descr="image\j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7: Код для второй модели</w:t>
      </w:r>
    </w:p>
    <w:p>
      <w:pPr>
        <w:numPr>
          <w:ilvl w:val="0"/>
          <w:numId w:val="1002"/>
        </w:numPr>
      </w:pPr>
      <w:r>
        <w:t xml:space="preserve">Зададим начальные значения (fig. 8)</w:t>
      </w:r>
    </w:p>
    <w:p>
      <w:pPr>
        <w:pStyle w:val="CaptionedFigure"/>
      </w:pPr>
      <w:r>
        <w:drawing>
          <wp:inline>
            <wp:extent cx="3088981" cy="998924"/>
            <wp:effectExtent b="0" l="0" r="0" t="0"/>
            <wp:docPr descr="Начальные значения во второй модели" title="" id="50" name="Picture"/>
            <a:graphic>
              <a:graphicData uri="http://schemas.openxmlformats.org/drawingml/2006/picture">
                <pic:pic>
                  <pic:nvPicPr>
                    <pic:cNvPr descr="image\j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99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Начальные значения во второй модели</w:t>
      </w:r>
    </w:p>
    <w:p>
      <w:pPr>
        <w:numPr>
          <w:ilvl w:val="0"/>
          <w:numId w:val="1003"/>
        </w:numPr>
      </w:pPr>
      <w:r>
        <w:t xml:space="preserve">Построим графики (fig. 9)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858490"/>
            <wp:effectExtent b="0" l="0" r="0" t="0"/>
            <wp:docPr descr="Результат моделирования в julia" title="" id="53" name="Picture"/>
            <a:graphic>
              <a:graphicData uri="http://schemas.openxmlformats.org/drawingml/2006/picture">
                <pic:pic>
                  <pic:nvPicPr>
                    <pic:cNvPr descr="image\j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9: Результат моделирования в julia</w:t>
      </w:r>
    </w:p>
    <w:p>
      <w:pPr>
        <w:numPr>
          <w:ilvl w:val="0"/>
          <w:numId w:val="1003"/>
        </w:numPr>
      </w:pPr>
      <w:r>
        <w:t xml:space="preserve">Та же модель в openmodelica (fig. 10)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795211"/>
            <wp:effectExtent b="0" l="0" r="0" t="0"/>
            <wp:docPr descr="Код для второй модели" title="" id="56" name="Picture"/>
            <a:graphic>
              <a:graphicData uri="http://schemas.openxmlformats.org/drawingml/2006/picture">
                <pic:pic>
                  <pic:nvPicPr>
                    <pic:cNvPr descr="image\om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10: Код для второй модели</w:t>
      </w:r>
    </w:p>
    <w:p>
      <w:pPr>
        <w:numPr>
          <w:ilvl w:val="0"/>
          <w:numId w:val="1003"/>
        </w:numPr>
      </w:pPr>
      <w:r>
        <w:t xml:space="preserve">И результаты моделирования (fig. 11)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460221"/>
            <wp:effectExtent b="0" l="0" r="0" t="0"/>
            <wp:docPr descr="График модели" title="" id="59" name="Picture"/>
            <a:graphic>
              <a:graphicData uri="http://schemas.openxmlformats.org/drawingml/2006/picture">
                <pic:pic>
                  <pic:nvPicPr>
                    <pic:cNvPr descr="image\om2g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0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11: График модели</w:t>
      </w:r>
    </w:p>
    <w:p>
      <w:pPr>
        <w:numPr>
          <w:ilvl w:val="0"/>
          <w:numId w:val="1003"/>
        </w:numPr>
      </w:pPr>
      <w:r>
        <w:t xml:space="preserve">Вторая модель в обоих случаях показывает, что вторая армия сразу уничтожается, модель, скорее всего, не соответствует реальности.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были рассмотрены две модели боевых действий. С использованием Julia и OpenModelica построены графики изменения численности войск.</w:t>
      </w:r>
    </w:p>
    <w:bookmarkEnd w:id="62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Start w:id="63" w:name="ref-juli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Вентцель Е. С. М.Ю.Г. Лихтерев Я. М.</w:t>
      </w:r>
      <w:r>
        <w:t xml:space="preserve"> </w:t>
      </w:r>
      <w:r>
        <w:t xml:space="preserve">Основы теории боевой эффективности и исследования операций</w:t>
      </w:r>
      <w:r>
        <w:t xml:space="preserve">. 1-е изд. The Pragmatic Bookshelf, 1961. 524 с.</w:t>
      </w:r>
    </w:p>
    <w:bookmarkEnd w:id="63"/>
    <w:bookmarkStart w:id="64" w:name="ref-pre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Helmbold R.L.</w:t>
      </w:r>
      <w:r>
        <w:t xml:space="preserve"> </w:t>
      </w:r>
      <w:r>
        <w:t xml:space="preserve">Osipov: The</w:t>
      </w:r>
      <w:r>
        <w:t xml:space="preserve"> </w:t>
      </w:r>
      <w:r>
        <w:t xml:space="preserve">«Russian Lanchester»</w:t>
      </w:r>
      <w:r>
        <w:t xml:space="preserve">. European Journal of Operations Research</w:t>
      </w:r>
      <w:r>
        <w:t xml:space="preserve">. 1993.</w:t>
      </w:r>
    </w:p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5" Target="media/rId55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3</dc:title>
  <dc:creator>Шалыгин Георгий Эдуардович</dc:creator>
  <dc:language>ru-RU</dc:language>
  <cp:keywords/>
  <dcterms:created xsi:type="dcterms:W3CDTF">2023-02-21T16:38:12Z</dcterms:created>
  <dcterms:modified xsi:type="dcterms:W3CDTF">2023-02-21T16:38:12Z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боевых действий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