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9.png" ContentType="image/png"/>
  <Override PartName="/word/media/rId42.png" ContentType="image/png"/>
  <Override PartName="/word/media/rId33.png" ContentType="image/png"/>
  <Override PartName="/word/media/rId36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модели конкуренции двух фирм 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 τ 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, 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5" w:name="конкуренция-двух-фир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Конкуренция двух фирм</w:t>
      </w:r>
    </w:p>
    <w:bookmarkStart w:id="23" w:name="случай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Исследуем систему в случае, когда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1</m:t>
            </m:r>
            <m:r>
              <m:rPr>
                <m:sty m:val="p"/>
              </m:rPr>
              <m:t>,</m:t>
            </m:r>
            <m:r>
              <m:t>k</m:t>
            </m:r>
            <m:r>
              <m:t>2</m:t>
            </m:r>
          </m:e>
        </m:d>
      </m:oMath>
      <w:r>
        <w:t xml:space="preserve"> </w:t>
      </w:r>
      <w:r>
        <w:t xml:space="preserve">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q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необходимо знать начальные условия.</w:t>
      </w:r>
    </w:p>
    <w:bookmarkEnd w:id="23"/>
    <w:bookmarkStart w:id="24" w:name="случай-2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4"/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Зададим систему и начальные условия на Julia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834922"/>
            <wp:effectExtent b="0" l="0" r="0" t="0"/>
            <wp:docPr descr="Код для первой модели" title="" id="28" name="Picture"/>
            <a:graphic>
              <a:graphicData uri="http://schemas.openxmlformats.org/drawingml/2006/picture">
                <pic:pic>
                  <pic:nvPicPr>
                    <pic:cNvPr descr="image\j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Код для первой модели</w:t>
      </w:r>
    </w:p>
    <w:p>
      <w:pPr>
        <w:numPr>
          <w:ilvl w:val="0"/>
          <w:numId w:val="1002"/>
        </w:numPr>
      </w:pPr>
      <w:r>
        <w:t xml:space="preserve">Построим график изменения численности (fig. 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57646"/>
            <wp:effectExtent b="0" l="0" r="0" t="0"/>
            <wp:docPr descr="График для первой модели" title="" id="31" name="Picture"/>
            <a:graphic>
              <a:graphicData uri="http://schemas.openxmlformats.org/drawingml/2006/picture">
                <pic:pic>
                  <pic:nvPicPr>
                    <pic:cNvPr descr="image\j1p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График для первой модели</w:t>
      </w:r>
    </w:p>
    <w:p>
      <w:pPr>
        <w:numPr>
          <w:ilvl w:val="0"/>
          <w:numId w:val="1002"/>
        </w:numPr>
      </w:pPr>
      <w:r>
        <w:t xml:space="preserve">Теперь зададим модель в Opemmodelica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003025"/>
            <wp:effectExtent b="0" l="0" r="0" t="0"/>
            <wp:docPr descr="Модель в openmodelica" title="" id="34" name="Picture"/>
            <a:graphic>
              <a:graphicData uri="http://schemas.openxmlformats.org/drawingml/2006/picture">
                <pic:pic>
                  <pic:nvPicPr>
                    <pic:cNvPr descr="image\om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Модель в openmodelica</w:t>
      </w:r>
    </w:p>
    <w:p>
      <w:pPr>
        <w:numPr>
          <w:ilvl w:val="0"/>
          <w:numId w:val="1002"/>
        </w:numPr>
      </w:pPr>
      <w:r>
        <w:t xml:space="preserve">Построим график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98799"/>
            <wp:effectExtent b="0" l="0" r="0" t="0"/>
            <wp:docPr descr="Результаты моделирования в openmodelica" title="" id="37" name="Picture"/>
            <a:graphic>
              <a:graphicData uri="http://schemas.openxmlformats.org/drawingml/2006/picture">
                <pic:pic>
                  <pic:nvPicPr>
                    <pic:cNvPr descr="image\om1p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Результаты моделирования в openmodelica</w:t>
      </w:r>
    </w:p>
    <w:p>
      <w:pPr>
        <w:numPr>
          <w:ilvl w:val="0"/>
          <w:numId w:val="1002"/>
        </w:numPr>
      </w:pPr>
      <w:r>
        <w:t xml:space="preserve">Рассмотрим второй случай.</w:t>
      </w:r>
    </w:p>
    <w:p>
      <w:pPr>
        <w:numPr>
          <w:ilvl w:val="0"/>
          <w:numId w:val="1002"/>
        </w:numPr>
      </w:pPr>
      <w:r>
        <w:t xml:space="preserve">Система уравнений в Julia (fig. 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835245"/>
            <wp:effectExtent b="0" l="0" r="0" t="0"/>
            <wp:docPr descr="Код для второй модели" title="" id="40" name="Picture"/>
            <a:graphic>
              <a:graphicData uri="http://schemas.openxmlformats.org/drawingml/2006/picture">
                <pic:pic>
                  <pic:nvPicPr>
                    <pic:cNvPr descr="image\j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Код для второй модели</w:t>
      </w:r>
    </w:p>
    <w:p>
      <w:pPr>
        <w:numPr>
          <w:ilvl w:val="0"/>
          <w:numId w:val="1002"/>
        </w:numPr>
      </w:pPr>
      <w:r>
        <w:t xml:space="preserve">Построим графики (fig. 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32526"/>
            <wp:effectExtent b="0" l="0" r="0" t="0"/>
            <wp:docPr descr="Результат моделирования в julia" title="" id="43" name="Picture"/>
            <a:graphic>
              <a:graphicData uri="http://schemas.openxmlformats.org/drawingml/2006/picture">
                <pic:pic>
                  <pic:nvPicPr>
                    <pic:cNvPr descr="image\j2p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Результат моделирования в julia</w:t>
      </w:r>
    </w:p>
    <w:p>
      <w:pPr>
        <w:numPr>
          <w:ilvl w:val="0"/>
          <w:numId w:val="1002"/>
        </w:numPr>
      </w:pPr>
      <w:r>
        <w:t xml:space="preserve">Та же модель в openmodelica (fig. 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843022"/>
            <wp:effectExtent b="0" l="0" r="0" t="0"/>
            <wp:docPr descr="Код для второй модели" title="" id="46" name="Picture"/>
            <a:graphic>
              <a:graphicData uri="http://schemas.openxmlformats.org/drawingml/2006/picture">
                <pic:pic>
                  <pic:nvPicPr>
                    <pic:cNvPr descr="image\om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Код для второй модели</w:t>
      </w:r>
    </w:p>
    <w:p>
      <w:pPr>
        <w:numPr>
          <w:ilvl w:val="0"/>
          <w:numId w:val="1002"/>
        </w:numPr>
      </w:pPr>
      <w:r>
        <w:t xml:space="preserve">И результаты моделирования (fig. 8)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947736"/>
            <wp:effectExtent b="0" l="0" r="0" t="0"/>
            <wp:docPr descr="График модели" title="" id="49" name="Picture"/>
            <a:graphic>
              <a:graphicData uri="http://schemas.openxmlformats.org/drawingml/2006/picture">
                <pic:pic>
                  <pic:nvPicPr>
                    <pic:cNvPr descr="image\om2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График модели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была рассмотрена простейшая модель конкуренции двух фирм . С использованием Julia и OpenModelica построены графики изменения численности, найдена точка максимума скорости.</w:t>
      </w:r>
    </w:p>
    <w:bookmarkEnd w:id="52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3" w:name="ref-pre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Б. И. ГЕРАСИМОВ Д.Н.П. Н. П. ПУЧКОВ.</w:t>
      </w:r>
      <w:r>
        <w:t xml:space="preserve"> </w:t>
      </w:r>
      <w:r>
        <w:t xml:space="preserve">ДИФФЕРЕНЦИАЛЬНЫЕ ДИНАМИЧЕСКИЕ МОДЕЛИ</w:t>
      </w:r>
      <w:r>
        <w:t xml:space="preserve"> </w:t>
      </w:r>
      <w:r>
        <w:t xml:space="preserve">. Издательство ГОУ ВПО ТГТУ, 2010.</w:t>
      </w:r>
    </w:p>
    <w:bookmarkEnd w:id="53"/>
    <w:bookmarkStart w:id="54" w:name="ref-jul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В. В.О.</w:t>
      </w:r>
      <w:r>
        <w:t xml:space="preserve"> </w:t>
      </w:r>
      <w:r>
        <w:t xml:space="preserve">Основы численного анализа динамических систем</w:t>
      </w:r>
      <w:r>
        <w:t xml:space="preserve">. Новосибирск, ФИЦ ИВТ, 2022. 124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Шалыгин Георгий Эдуардович</dc:creator>
  <dc:language>ru-RU</dc:language>
  <cp:keywords/>
  <dcterms:created xsi:type="dcterms:W3CDTF">2023-04-01T14:29:58Z</dcterms:created>
  <dcterms:modified xsi:type="dcterms:W3CDTF">2023-04-01T14:29:58Z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