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0B2545"/>
          <w:sz w:val="44"/>
        </w:rPr>
        <w:t>法学院迎新“五彩职业选择”活动项目计划书</w:t>
      </w:r>
    </w:p>
    <w:p>
      <w:pPr>
        <w:pStyle w:val="Subtitle"/>
        <w:jc w:val="center"/>
      </w:pPr>
      <w:r>
        <w:rPr>
          <w:rFonts w:ascii="微软雅黑" w:hAnsi="微软雅黑" w:eastAsia="微软雅黑"/>
          <w:b/>
          <w:color w:val="2E74B5"/>
          <w:sz w:val="26"/>
        </w:rPr>
        <w:t>线上职业特质测评 · 专属职业画像 · 体能培优方案 · 实务导师对接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95959"/>
          <w:sz w:val="20"/>
        </w:rPr>
        <w:t>编制单位：法学院学生工作办公室（拟定）    编制日期：2026年8月    版本：V1.0（待审稿）</w:t>
      </w:r>
    </w:p>
    <w:p>
      <w:pPr>
        <w:spacing w:after="120"/>
        <w:pBdr>
          <w:bottom w:val="single" w:sz="8" w:space="1" w:color="2E74B5"/>
        </w:pBdr>
      </w:pP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22"/>
        </w:rPr>
        <w:t>一、项目背景与意义</w:t>
      </w:r>
    </w:p>
    <w:p>
      <w:r>
        <w:rPr>
          <w:rFonts w:ascii="微软雅黑" w:hAnsi="微软雅黑" w:eastAsia="微软雅黑"/>
          <w:b w:val="0"/>
          <w:sz w:val="22"/>
        </w:rPr>
        <w:t>学院拟在迎新季开展“五彩法途，筑梦未来”主题迎新活动，聚焦法学六大核心就业方向（律师、法官、检察官、企业法务、AI伦理合规顾问、法学研究），通过专属色彩赋能、职业特质测评、身体素质培优两大核心板块，为新生打造沉浸式职业启蒙体验，帮助新生提前规划法学四年成长路径，夯实职业发展基础。</w:t>
      </w:r>
    </w:p>
    <w:p>
      <w:r>
        <w:rPr>
          <w:rFonts w:ascii="微软雅黑" w:hAnsi="微软雅黑" w:eastAsia="微软雅黑"/>
          <w:b w:val="0"/>
          <w:sz w:val="22"/>
        </w:rPr>
        <w:t>本项目在原有活动方案基础上，将线下展示升级为“大屏互动＋手机端随行”的数字化体验：新生在大屏上完成职业特质测评，系统即时生成专属职业画像，并同步推送对应职业的身体素质要求与体育锻炼建议；画像与锻炼贴士可通过扫码保存到手机、随时查看；画像生成后还可一键对接对应职业的实务导师，实现“职业认知—自我认知—身心赋能—导师引领”的完整闭环。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22"/>
        </w:rPr>
        <w:t>二、项目目标与成果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2"/>
        </w:rPr>
        <w:t>（一）项目目标</w:t>
      </w:r>
    </w:p>
    <w:p>
      <w:pPr>
        <w:pStyle w:val="ListBullet"/>
      </w:pPr>
      <w:r>
        <w:t>认知引领：让新生在1—2分钟内完成一次有趣、有记忆点的职业倾向测试，快速建立对法学六大职业方向的初步认知。</w:t>
      </w:r>
    </w:p>
    <w:p>
      <w:pPr>
        <w:pStyle w:val="ListBullet"/>
      </w:pPr>
      <w:r>
        <w:t>自我洞察：通过特质词选择生成专属职业画像，帮助新生认识自身的性格优势、能力特点与待提升方向。</w:t>
      </w:r>
    </w:p>
    <w:p>
      <w:pPr>
        <w:pStyle w:val="ListBullet"/>
      </w:pPr>
      <w:r>
        <w:t>身心赋能：同步推送职业对应的身体素质达标要求与大学四年阶梯式锻炼建议，让“职业规划”落到身体建设。</w:t>
      </w:r>
    </w:p>
    <w:p>
      <w:pPr>
        <w:pStyle w:val="ListBullet"/>
      </w:pPr>
      <w:r>
        <w:t>导师衔接：职业画像生成后，引导新生对接对应实务导师，让启蒙体验延续为持续指导。</w:t>
      </w:r>
    </w:p>
    <w:p>
      <w:pPr>
        <w:pStyle w:val="ListBullet"/>
      </w:pPr>
      <w:r>
        <w:t>可带走、可复看：报告与锻炼贴士支持扫码保存到手机，方便随时查看与执行。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2"/>
        </w:rPr>
        <w:t>（二）主要交付成果</w:t>
      </w:r>
    </w:p>
    <w:p>
      <w:pPr>
        <w:pStyle w:val="ListBullet"/>
      </w:pPr>
      <w:r>
        <w:t>大屏互动测试链接（H5页面，触控操作，含六大职业×15个特质词，勾选最多10个）。</w:t>
      </w:r>
    </w:p>
    <w:p>
      <w:pPr>
        <w:pStyle w:val="ListBullet"/>
      </w:pPr>
      <w:r>
        <w:t>职业画像生成模块（匹配算法、专属主题色、动态特效呈现）。</w:t>
      </w:r>
    </w:p>
    <w:p>
      <w:pPr>
        <w:pStyle w:val="ListBullet"/>
      </w:pPr>
      <w:r>
        <w:t>六大职业“身体素质要求＋大学四年锻炼计划”内容库。</w:t>
      </w:r>
    </w:p>
    <w:p>
      <w:pPr>
        <w:pStyle w:val="ListBullet"/>
      </w:pPr>
      <w:r>
        <w:t>手机端报告页与二维码导出能力（保存长图、收藏链接）。</w:t>
      </w:r>
    </w:p>
    <w:p>
      <w:pPr>
        <w:pStyle w:val="ListBullet"/>
      </w:pPr>
      <w:r>
        <w:t>实务导师对接模块（导师名片、预约入口）。</w:t>
      </w:r>
    </w:p>
    <w:p>
      <w:pPr>
        <w:pStyle w:val="ListBullet"/>
      </w:pPr>
      <w:r>
        <w:t>（可选）后台数据统计：参与人数、职业分布、高频勾选词等。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22"/>
        </w:rPr>
        <w:t>三、核心流程设计（新生体验动线）</w:t>
      </w:r>
    </w:p>
    <w:p>
      <w:r>
        <w:rPr>
          <w:rFonts w:ascii="微软雅黑" w:hAnsi="微软雅黑" w:eastAsia="微软雅黑"/>
          <w:b w:val="0"/>
          <w:sz w:val="22"/>
        </w:rPr>
        <w:t>整个体验控制在2—3分钟内，动线设计如下：</w:t>
      </w:r>
    </w:p>
    <w:p>
      <w:pPr>
        <w:pStyle w:val="ListNumber"/>
      </w:pPr>
      <w:r>
        <w:t>进入测试：新生在大屏前点击“开始测试”，亦可扫码在手机上同步完成测试。</w:t>
      </w:r>
    </w:p>
    <w:p>
      <w:pPr>
        <w:pStyle w:val="ListNumber"/>
      </w:pPr>
      <w:r>
        <w:t>勾选特质词：从六大职业共90个特质限定词中，勾选最多10个最贴合自己的词。</w:t>
      </w:r>
    </w:p>
    <w:p>
      <w:pPr>
        <w:pStyle w:val="ListNumber"/>
      </w:pPr>
      <w:r>
        <w:t>实时匹配：系统按关键词命中计分，呈现六色赛道／能量柱竞速动画，即时反馈匹配度变化。</w:t>
      </w:r>
    </w:p>
    <w:p>
      <w:pPr>
        <w:pStyle w:val="ListNumber"/>
      </w:pPr>
      <w:r>
        <w:t>揭晓职业画像：定格最适配职业，触发全屏特效生成专属职业形象，展示匹配度、能力优势与提升建议。</w:t>
      </w:r>
    </w:p>
    <w:p>
      <w:pPr>
        <w:pStyle w:val="ListNumber"/>
      </w:pPr>
      <w:r>
        <w:t>体能赋能：自动推送该职业的身体素质达标要求与大学四年体育锻炼计划。</w:t>
      </w:r>
    </w:p>
    <w:p>
      <w:pPr>
        <w:pStyle w:val="ListNumber"/>
      </w:pPr>
      <w:r>
        <w:t>扫码带走：大屏生成专属二维码，学生扫码后在手机端查看、收藏、保存职业报告与锻炼贴士。</w:t>
      </w:r>
    </w:p>
    <w:p>
      <w:pPr>
        <w:pStyle w:val="ListNumber"/>
      </w:pPr>
      <w:r>
        <w:t>导师对接：报告页展示对应实务导师信息与预约入口，现场工作人员引导至导师交流区。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22"/>
        </w:rPr>
        <w:t>四、六大职业内容体系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2"/>
        </w:rPr>
        <w:t>（一）六大职业与专属色彩</w:t>
      </w:r>
    </w:p>
    <w:p>
      <w:r>
        <w:rPr>
          <w:rFonts w:ascii="微软雅黑" w:hAnsi="微软雅黑" w:eastAsia="微软雅黑"/>
          <w:b w:val="0"/>
          <w:sz w:val="22"/>
        </w:rPr>
        <w:t>结合法律行业职业象征意义、职业着装体系与行业通用色彩认知，为六大职业精准匹配专属色彩，适配活动海报、测试页面、职业展板、文创物料等全场景使用。</w:t>
      </w:r>
    </w:p>
    <w:tbl>
      <w:tblPr>
        <w:tblStyle w:val="TableGrid"/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68"/>
        <w:gridCol w:w="2304"/>
        <w:gridCol w:w="3552"/>
      </w:tblGrid>
      <w:tr>
        <w:tc>
          <w:tcPr>
            <w:tcW w:type="dxa" w:w="3168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职业方向</w:t>
            </w:r>
          </w:p>
        </w:tc>
        <w:tc>
          <w:tcPr>
            <w:tcW w:type="dxa" w:w="2304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专属色彩</w:t>
            </w:r>
          </w:p>
        </w:tc>
        <w:tc>
          <w:tcPr>
            <w:tcW w:type="dxa" w:w="3552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色彩释义（拟）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律师</w:t>
            </w:r>
          </w:p>
        </w:tc>
        <w:tc>
          <w:tcPr>
            <w:tcW w:type="dxa" w:w="230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皓月白</w:t>
            </w:r>
          </w:p>
        </w:tc>
        <w:tc>
          <w:tcPr>
            <w:tcW w:type="dxa" w:w="3552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冷静理性、专业干练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法官</w:t>
            </w:r>
          </w:p>
        </w:tc>
        <w:tc>
          <w:tcPr>
            <w:tcW w:type="dxa" w:w="230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苍穹蓝</w:t>
            </w:r>
          </w:p>
        </w:tc>
        <w:tc>
          <w:tcPr>
            <w:tcW w:type="dxa" w:w="3552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庄重权威、公正审慎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检察官</w:t>
            </w:r>
          </w:p>
        </w:tc>
        <w:tc>
          <w:tcPr>
            <w:tcW w:type="dxa" w:w="230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中国红</w:t>
            </w:r>
          </w:p>
        </w:tc>
        <w:tc>
          <w:tcPr>
            <w:tcW w:type="dxa" w:w="3552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忠诚担当、正义热血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企业法务</w:t>
            </w:r>
          </w:p>
        </w:tc>
        <w:tc>
          <w:tcPr>
            <w:tcW w:type="dxa" w:w="230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琉璃紫</w:t>
            </w:r>
          </w:p>
        </w:tc>
        <w:tc>
          <w:tcPr>
            <w:tcW w:type="dxa" w:w="3552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沉稳睿智、合规审慎</w:t>
            </w:r>
          </w:p>
        </w:tc>
      </w:tr>
      <w:tr>
        <w:tc>
          <w:tcPr>
            <w:tcW w:type="dxa" w:w="3168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AI伦理合规顾问等新兴行业</w:t>
            </w:r>
          </w:p>
        </w:tc>
        <w:tc>
          <w:tcPr>
            <w:tcW w:type="dxa" w:w="2304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科创青</w:t>
            </w:r>
          </w:p>
        </w:tc>
        <w:tc>
          <w:tcPr>
            <w:tcW w:type="dxa" w:w="3552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前沿创新、科技向善</w:t>
            </w:r>
          </w:p>
        </w:tc>
      </w:tr>
      <w:tr>
        <w:tc>
          <w:tcPr>
            <w:tcW w:type="dxa" w:w="3168"/>
          </w:tcPr>
          <w:p>
            <w:r>
              <w:t>法学研究</w:t>
            </w:r>
          </w:p>
        </w:tc>
        <w:tc>
          <w:tcPr>
            <w:tcW w:type="dxa" w:w="2304"/>
          </w:tcPr>
          <w:p>
            <w:r>
              <w:t>黛青</w:t>
            </w:r>
          </w:p>
        </w:tc>
        <w:tc>
          <w:tcPr>
            <w:tcW w:type="dxa" w:w="3552"/>
          </w:tcPr>
          <w:p>
            <w:r>
              <w:t>沉潜治学、格物致知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E74B5"/>
          <w:sz w:val="22"/>
        </w:rPr>
        <w:t>（二）特质限定词库</w:t>
      </w:r>
    </w:p>
    <w:p>
      <w:r>
        <w:rPr>
          <w:rFonts w:ascii="微软雅黑" w:hAnsi="微软雅黑" w:eastAsia="微软雅黑"/>
          <w:b w:val="0"/>
          <w:sz w:val="22"/>
        </w:rPr>
        <w:t>词库基于六大职业各15个特质限定词（共90词），按性格特质、能力特质、职业素养三个维度设计，内容采用已确认的活动方案版本，可直接录入系统，完整清单见附录一。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2"/>
        </w:rPr>
        <w:t>（三）职业画像内容结构</w:t>
      </w:r>
    </w:p>
    <w:p>
      <w:pPr>
        <w:pStyle w:val="ListBullet"/>
      </w:pPr>
      <w:r>
        <w:t>职业名称与专属色彩主题；</w:t>
      </w:r>
    </w:p>
    <w:p>
      <w:pPr>
        <w:pStyle w:val="ListBullet"/>
      </w:pPr>
      <w:r>
        <w:t>职业形象视觉化呈现（插画／动态形象，含法槌、天平、检徽、合同印章、AI芯片等标志性元素）；</w:t>
      </w:r>
    </w:p>
    <w:p>
      <w:pPr>
        <w:pStyle w:val="ListBullet"/>
      </w:pPr>
      <w:r>
        <w:t>匹配度与第一、第二适配方向；</w:t>
      </w:r>
    </w:p>
    <w:p>
      <w:pPr>
        <w:pStyle w:val="ListBullet"/>
      </w:pPr>
      <w:r>
        <w:t>性格与能力优势（依据勾选词汇自动归纳）；</w:t>
      </w:r>
    </w:p>
    <w:p>
      <w:pPr>
        <w:pStyle w:val="ListBullet"/>
      </w:pPr>
      <w:r>
        <w:t>潜在短板与提升建议；</w:t>
      </w:r>
    </w:p>
    <w:p>
      <w:pPr>
        <w:pStyle w:val="ListBullet"/>
      </w:pPr>
      <w:r>
        <w:t>一句话职业格言（示例：“以法为盾，以理服人”）。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2"/>
        </w:rPr>
        <w:t>（四）身体素质达标要求</w:t>
      </w:r>
    </w:p>
    <w:p>
      <w:r>
        <w:rPr>
          <w:rFonts w:ascii="微软雅黑" w:hAnsi="微软雅黑" w:eastAsia="微软雅黑"/>
          <w:b w:val="0"/>
          <w:sz w:val="22"/>
        </w:rPr>
        <w:t>结合公务员体检标准、司法系统招录要求、头部律所、企业合规岗位招聘细则及学术科研岗位要求，为六大职业分别梳理核心身体素质要求（每个职业4项），内容采用活动方案已确认版本，完整清单见附录二。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2"/>
        </w:rPr>
        <w:t>（五）大学四年阶梯式体育锻炼计划</w:t>
      </w:r>
    </w:p>
    <w:p>
      <w:r>
        <w:rPr>
          <w:rFonts w:ascii="微软雅黑" w:hAnsi="微软雅黑" w:eastAsia="微软雅黑"/>
          <w:b w:val="0"/>
          <w:sz w:val="22"/>
        </w:rPr>
        <w:t>按“大一体能筑基—大二专项强化—大三职业场景模拟—大四达标冲刺”四步走设计，每个职业配备四年分阶段锻炼建议，示例草案见附录三；最终版本由体育教研／校医院老师审定后录入系统。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2"/>
        </w:rPr>
        <w:t>（六）实务导师对接机制</w:t>
      </w:r>
    </w:p>
    <w:p>
      <w:pPr>
        <w:pStyle w:val="ListBullet"/>
      </w:pPr>
      <w:r>
        <w:t>每个职业方向配置1—2名实务导师，报告页展示导师姓名、职业背景与负责方向。</w:t>
      </w:r>
    </w:p>
    <w:p>
      <w:pPr>
        <w:pStyle w:val="ListBullet"/>
      </w:pPr>
      <w:r>
        <w:t>提供“扫码预约／添加导师”入口（微信／企业微信），并标注导师交流时段。</w:t>
      </w:r>
    </w:p>
    <w:p>
      <w:pPr>
        <w:pStyle w:val="ListBullet"/>
      </w:pPr>
      <w:r>
        <w:t>现场设置“导师面对面”交流区，工作人员根据新生画像引导分流。</w:t>
      </w:r>
    </w:p>
    <w:p>
      <w:pPr>
        <w:pStyle w:val="ListBullet"/>
      </w:pPr>
      <w:r>
        <w:t>导师名单已确认并录入系统初始化数据，交流时段与预约方式由学院另行确定，本计划书预留模块接口。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22"/>
        </w:rPr>
        <w:t>五、视觉与交互呈现方案（“花哨”呈现重点）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2"/>
        </w:rPr>
        <w:t>（一）整体视觉基调</w:t>
      </w:r>
    </w:p>
    <w:p>
      <w:r>
        <w:rPr>
          <w:rFonts w:ascii="微软雅黑" w:hAnsi="微软雅黑" w:eastAsia="微软雅黑"/>
          <w:b w:val="0"/>
          <w:sz w:val="22"/>
        </w:rPr>
        <w:t>以六大职业专属色彩（皓月白、苍穹蓝、中国红、琉璃紫、科创青、黛青）构成统一视觉体系，页面采用深色科技感背景与职业色渐变光效，突出“五彩法途”主题；标题与按钮使用大字号、高对比，适配大屏远距离观看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2"/>
        </w:rPr>
        <w:t>（二）关键动效节点</w:t>
      </w:r>
    </w:p>
    <w:p>
      <w:pPr>
        <w:pStyle w:val="ListBullet"/>
      </w:pPr>
      <w:r>
        <w:t>选词阶段：词卡悬浮入场，点击后化作光点飞入“职业能量池”，六色光柱随勾选实时升降，营造参与感。</w:t>
      </w:r>
    </w:p>
    <w:p>
      <w:pPr>
        <w:pStyle w:val="ListBullet"/>
      </w:pPr>
      <w:r>
        <w:t>匹配阶段：六色赛道竞速或六色星球汇聚动画，制造悬念与期待，实时显示各职业匹配度。</w:t>
      </w:r>
    </w:p>
    <w:p>
      <w:pPr>
        <w:pStyle w:val="ListBullet"/>
      </w:pPr>
      <w:r>
        <w:t>揭晓阶段：匹配定格瞬间触发全屏粒子绽放／光爆特效，职业标志性元素聚合成专属职业形象，配职业色大字标题与动效字幕，形成强烈的“揭晓仪式感”。</w:t>
      </w:r>
    </w:p>
    <w:p>
      <w:pPr>
        <w:pStyle w:val="ListBullet"/>
      </w:pPr>
      <w:r>
        <w:t>画像阶段：职业色彩主题报告页，能力雷达图动态展开，支持一键生成分享长图。</w:t>
      </w:r>
    </w:p>
    <w:p>
      <w:pPr>
        <w:pStyle w:val="ListBullet"/>
      </w:pPr>
      <w:r>
        <w:t>扫码页：二维码置于光效中心，配“扫码带走你的职业画像”引导文案，强化行动引导。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2"/>
        </w:rPr>
        <w:t>（三）大屏与手机端适配</w:t>
      </w:r>
    </w:p>
    <w:p>
      <w:pPr>
        <w:pStyle w:val="ListBullet"/>
      </w:pPr>
      <w:r>
        <w:t>大屏端：建议1080P及以上分辨率，全屏触控操作，点击响应流畅、无卡顿，3—5米外清晰可读。</w:t>
      </w:r>
    </w:p>
    <w:p>
      <w:pPr>
        <w:pStyle w:val="ListBullet"/>
      </w:pPr>
      <w:r>
        <w:t>手机端：扫码打开轻量H5，报告与贴士一屏可读，支持保存长图与收藏链接。</w:t>
      </w:r>
    </w:p>
    <w:p>
      <w:pPr>
        <w:pStyle w:val="ListBullet"/>
      </w:pPr>
      <w:r>
        <w:t>多端一致：同一测试结果在不同设备打开内容一致，二维码与报告编号一一对应。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22"/>
        </w:rPr>
        <w:t>六、技术实现方案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2"/>
        </w:rPr>
        <w:t>（一）整体架构</w:t>
      </w:r>
    </w:p>
    <w:p>
      <w:r>
        <w:rPr>
          <w:rFonts w:ascii="微软雅黑" w:hAnsi="微软雅黑" w:eastAsia="微软雅黑"/>
          <w:b w:val="0"/>
          <w:sz w:val="22"/>
        </w:rPr>
        <w:t>建议采用“大屏H5＋手机H5＋轻量后端”的组合架构：</w:t>
      </w:r>
    </w:p>
    <w:p>
      <w:pPr>
        <w:pStyle w:val="ListBullet"/>
      </w:pPr>
      <w:r>
        <w:t>前端：大屏触控测试页与手机端报告页，支持主流浏览器（Chrome／Edge），大屏以全屏模式运行。</w:t>
      </w:r>
    </w:p>
    <w:p>
      <w:pPr>
        <w:pStyle w:val="ListBullet"/>
      </w:pPr>
      <w:r>
        <w:t>后端（轻量）：保存测试记录，生成专属报告编号与二维码链接，支持数据统计与导师预约留资。</w:t>
      </w:r>
    </w:p>
    <w:p>
      <w:pPr>
        <w:pStyle w:val="ListBullet"/>
      </w:pPr>
      <w:r>
        <w:t>部署：可部署于学院服务器或云服务；活动现场同步准备本地离线兜底方案，避免网络中断影响。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2"/>
        </w:rPr>
        <w:t>（二）匹配算法</w:t>
      </w:r>
    </w:p>
    <w:p>
      <w:pPr>
        <w:pStyle w:val="ListBullet"/>
      </w:pPr>
      <w:r>
        <w:t>词库结构：六大职业×15个特质词，共90词；每职业标注5个核心词（权重2分），其余词权重1分。</w:t>
      </w:r>
    </w:p>
    <w:p>
      <w:pPr>
        <w:pStyle w:val="ListBullet"/>
      </w:pPr>
      <w:r>
        <w:t>计分规则：学生勾选最多10词后，系统按命中词累计各职业得分，按得分排序输出第一适配与第二适配职业及匹配百分比。</w:t>
      </w:r>
    </w:p>
    <w:p>
      <w:pPr>
        <w:pStyle w:val="ListBullet"/>
      </w:pPr>
      <w:r>
        <w:t>兜底设计：当多个职业得分接近时，同时展示“你可能也适合”的第二方向，避免单一结论带来的生硬感。</w:t>
      </w:r>
    </w:p>
    <w:p>
      <w:pPr>
        <w:pStyle w:val="ListBullet"/>
      </w:pPr>
      <w:r>
        <w:t>文案规范：报告统一标注“本结果为兴趣初步画像，仅供参考”，弱化“定论感”。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2"/>
        </w:rPr>
        <w:t>（三）二维码与数据导出</w:t>
      </w:r>
    </w:p>
    <w:p>
      <w:pPr>
        <w:pStyle w:val="ListBullet"/>
      </w:pPr>
      <w:r>
        <w:t>测试完成后，大屏生成专属二维码（含报告编号），学生扫码即在手机上打开个人报告。</w:t>
      </w:r>
    </w:p>
    <w:p>
      <w:pPr>
        <w:pStyle w:val="ListBullet"/>
      </w:pPr>
      <w:r>
        <w:t>报告页支持收藏链接、保存长图、转发分享；锻炼贴士单独成卡片，可保存为图片随时查看。</w:t>
      </w:r>
    </w:p>
    <w:p>
      <w:pPr>
        <w:pStyle w:val="ListBullet"/>
      </w:pPr>
      <w:r>
        <w:t>现场人流较大时，可提供固定入口二维码，学生先在手机上完成测试，再凭编号查看结果。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2"/>
        </w:rPr>
        <w:t>（四）数据统计（可选）</w:t>
      </w:r>
    </w:p>
    <w:p>
      <w:pPr>
        <w:pStyle w:val="ListBullet"/>
      </w:pPr>
      <w:r>
        <w:t>后台可统计参与人数、完成率、六职业分布、高频勾选词等，用于活动总结与方案迭代。</w:t>
      </w:r>
    </w:p>
    <w:p>
      <w:pPr>
        <w:pStyle w:val="ListBullet"/>
      </w:pPr>
      <w:r>
        <w:t>涉及新生个人信息时，按学院要求进行脱敏处理。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2"/>
        </w:rPr>
        <w:t>（五）兼容性与稳定性</w:t>
      </w:r>
    </w:p>
    <w:p>
      <w:pPr>
        <w:pStyle w:val="ListBullet"/>
      </w:pPr>
      <w:r>
        <w:t>大屏端与手机端均适配主流浏览器，触控与鼠标操作兼容。</w:t>
      </w:r>
    </w:p>
    <w:p>
      <w:pPr>
        <w:pStyle w:val="ListBullet"/>
      </w:pPr>
      <w:r>
        <w:t>测试链接按同时在线50—100人设计承载能力，现场配置备用设备与网络兜底。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22"/>
        </w:rPr>
        <w:t>七、现场部署与物料清单</w:t>
      </w:r>
    </w:p>
    <w:p>
      <w:pPr>
        <w:pStyle w:val="ListBullet"/>
      </w:pPr>
      <w:r>
        <w:t>触控一体机或“大屏＋触控设备”1台（主入口，3—5米距离可看清）。</w:t>
      </w:r>
    </w:p>
    <w:p>
      <w:pPr>
        <w:pStyle w:val="ListBullet"/>
      </w:pPr>
      <w:r>
        <w:t>备用平板2—3台（分流排队、设备故障兜底）。</w:t>
      </w:r>
    </w:p>
    <w:p>
      <w:pPr>
        <w:pStyle w:val="ListBullet"/>
      </w:pPr>
      <w:r>
        <w:t>无线网络／流量卡（活动现场网络保障，含离线兜底）。</w:t>
      </w:r>
    </w:p>
    <w:p>
      <w:pPr>
        <w:pStyle w:val="ListBullet"/>
      </w:pPr>
      <w:r>
        <w:t>物料：职业主题展板、海报、二维码台卡、操作手卡、导师交流区指引牌。</w:t>
      </w:r>
    </w:p>
    <w:p>
      <w:pPr>
        <w:pStyle w:val="ListBullet"/>
      </w:pPr>
      <w:r>
        <w:t>工作人员：现场引导1—2人，技术保障1人，导师交流区1—2人。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22"/>
        </w:rPr>
        <w:t>八、实施计划与里程碑</w:t>
      </w:r>
    </w:p>
    <w:p>
      <w:r>
        <w:rPr>
          <w:rFonts w:ascii="微软雅黑" w:hAnsi="微软雅黑" w:eastAsia="微软雅黑"/>
          <w:b w:val="0"/>
          <w:sz w:val="22"/>
        </w:rPr>
        <w:t>以迎新当日为“T日”，实施节奏安排如下（具体日期由学院确定后填入）：</w:t>
      </w:r>
    </w:p>
    <w:tbl>
      <w:tblPr>
        <w:tblStyle w:val="TableGrid"/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55"/>
        <w:gridCol w:w="1655"/>
        <w:gridCol w:w="4171"/>
        <w:gridCol w:w="1543"/>
      </w:tblGrid>
      <w:tr>
        <w:tc>
          <w:tcPr>
            <w:tcW w:type="dxa" w:w="1655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1655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时间节点</w:t>
            </w:r>
          </w:p>
        </w:tc>
        <w:tc>
          <w:tcPr>
            <w:tcW w:type="dxa" w:w="4171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主要工作</w:t>
            </w:r>
          </w:p>
        </w:tc>
        <w:tc>
          <w:tcPr>
            <w:tcW w:type="dxa" w:w="1543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责任方</w:t>
            </w:r>
          </w:p>
        </w:tc>
      </w:tr>
      <w:tr>
        <w:tc>
          <w:tcPr>
            <w:tcW w:type="dxa" w:w="1655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方案与内容确认</w:t>
            </w:r>
          </w:p>
        </w:tc>
        <w:tc>
          <w:tcPr>
            <w:tcW w:type="dxa" w:w="1655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T-4周至T-3周</w:t>
            </w:r>
          </w:p>
        </w:tc>
        <w:tc>
          <w:tcPr>
            <w:tcW w:type="dxa" w:w="4171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确认五职业词库、身体素质要求、锻炼计划、导师名单与预约机制</w:t>
            </w:r>
          </w:p>
        </w:tc>
        <w:tc>
          <w:tcPr>
            <w:tcW w:type="dxa" w:w="1543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学工办、内容组</w:t>
            </w:r>
          </w:p>
        </w:tc>
      </w:tr>
      <w:tr>
        <w:tc>
          <w:tcPr>
            <w:tcW w:type="dxa" w:w="1655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视觉与交互设计</w:t>
            </w:r>
          </w:p>
        </w:tc>
        <w:tc>
          <w:tcPr>
            <w:tcW w:type="dxa" w:w="1655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T-3周</w:t>
            </w:r>
          </w:p>
        </w:tc>
        <w:tc>
          <w:tcPr>
            <w:tcW w:type="dxa" w:w="4171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主视觉、五色体系、职业形象插画、动效设计稿</w:t>
            </w:r>
          </w:p>
        </w:tc>
        <w:tc>
          <w:tcPr>
            <w:tcW w:type="dxa" w:w="1543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设计组</w:t>
            </w:r>
          </w:p>
        </w:tc>
      </w:tr>
      <w:tr>
        <w:tc>
          <w:tcPr>
            <w:tcW w:type="dxa" w:w="1655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开发与内容配置</w:t>
            </w:r>
          </w:p>
        </w:tc>
        <w:tc>
          <w:tcPr>
            <w:tcW w:type="dxa" w:w="1655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T-3周至T-2周</w:t>
            </w:r>
          </w:p>
        </w:tc>
        <w:tc>
          <w:tcPr>
            <w:tcW w:type="dxa" w:w="4171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大屏H5、匹配算法、报告页、二维码、导师模块开发与文案录入</w:t>
            </w:r>
          </w:p>
        </w:tc>
        <w:tc>
          <w:tcPr>
            <w:tcW w:type="dxa" w:w="1543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技术组</w:t>
            </w:r>
          </w:p>
        </w:tc>
      </w:tr>
      <w:tr>
        <w:tc>
          <w:tcPr>
            <w:tcW w:type="dxa" w:w="1655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测试与验收</w:t>
            </w:r>
          </w:p>
        </w:tc>
        <w:tc>
          <w:tcPr>
            <w:tcW w:type="dxa" w:w="1655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T-1周</w:t>
            </w:r>
          </w:p>
        </w:tc>
        <w:tc>
          <w:tcPr>
            <w:tcW w:type="dxa" w:w="4171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全流程走查、真机与大屏联调、并发压力测试</w:t>
            </w:r>
          </w:p>
        </w:tc>
        <w:tc>
          <w:tcPr>
            <w:tcW w:type="dxa" w:w="1543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技术组、内容组</w:t>
            </w:r>
          </w:p>
        </w:tc>
      </w:tr>
      <w:tr>
        <w:tc>
          <w:tcPr>
            <w:tcW w:type="dxa" w:w="1655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现场彩排</w:t>
            </w:r>
          </w:p>
        </w:tc>
        <w:tc>
          <w:tcPr>
            <w:tcW w:type="dxa" w:w="1655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T-1天至T-2天</w:t>
            </w:r>
          </w:p>
        </w:tc>
        <w:tc>
          <w:tcPr>
            <w:tcW w:type="dxa" w:w="4171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设备就位、网络检测、志愿者培训、全流程彩排</w:t>
            </w:r>
          </w:p>
        </w:tc>
        <w:tc>
          <w:tcPr>
            <w:tcW w:type="dxa" w:w="1543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全体项目组</w:t>
            </w:r>
          </w:p>
        </w:tc>
      </w:tr>
      <w:tr>
        <w:tc>
          <w:tcPr>
            <w:tcW w:type="dxa" w:w="1655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活动执行</w:t>
            </w:r>
          </w:p>
        </w:tc>
        <w:tc>
          <w:tcPr>
            <w:tcW w:type="dxa" w:w="1655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T日（迎新当日）</w:t>
            </w:r>
          </w:p>
        </w:tc>
        <w:tc>
          <w:tcPr>
            <w:tcW w:type="dxa" w:w="4171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现场引导、数据监控、导师对接保障</w:t>
            </w:r>
          </w:p>
        </w:tc>
        <w:tc>
          <w:tcPr>
            <w:tcW w:type="dxa" w:w="1543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现场组</w:t>
            </w:r>
          </w:p>
        </w:tc>
      </w:tr>
      <w:tr>
        <w:tc>
          <w:tcPr>
            <w:tcW w:type="dxa" w:w="1655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复盘与总结</w:t>
            </w:r>
          </w:p>
        </w:tc>
        <w:tc>
          <w:tcPr>
            <w:tcW w:type="dxa" w:w="1655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T+1周</w:t>
            </w:r>
          </w:p>
        </w:tc>
        <w:tc>
          <w:tcPr>
            <w:tcW w:type="dxa" w:w="4171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数据回收、活动报告、问题复盘、方案迭代</w:t>
            </w:r>
          </w:p>
        </w:tc>
        <w:tc>
          <w:tcPr>
            <w:tcW w:type="dxa" w:w="1543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项目组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2E74B5"/>
          <w:sz w:val="22"/>
        </w:rPr>
        <w:t>九、团队分工</w:t>
      </w:r>
    </w:p>
    <w:tbl>
      <w:tblPr>
        <w:tblStyle w:val="TableGrid"/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28"/>
        <w:gridCol w:w="4608"/>
        <w:gridCol w:w="2688"/>
      </w:tblGrid>
      <w:tr>
        <w:tc>
          <w:tcPr>
            <w:tcW w:type="dxa" w:w="1728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小组</w:t>
            </w:r>
          </w:p>
        </w:tc>
        <w:tc>
          <w:tcPr>
            <w:tcW w:type="dxa" w:w="4608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主要职责</w:t>
            </w:r>
          </w:p>
        </w:tc>
        <w:tc>
          <w:tcPr>
            <w:tcW w:type="dxa" w:w="2688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建议构成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项目统筹</w:t>
            </w:r>
          </w:p>
        </w:tc>
        <w:tc>
          <w:tcPr>
            <w:tcW w:type="dxa" w:w="4608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方案审批、进度协调、资源保障、学院对接</w:t>
            </w:r>
          </w:p>
        </w:tc>
        <w:tc>
          <w:tcPr>
            <w:tcW w:type="dxa" w:w="2688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学工办负责老师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内容组</w:t>
            </w:r>
          </w:p>
        </w:tc>
        <w:tc>
          <w:tcPr>
            <w:tcW w:type="dxa" w:w="4608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词库、文案、锻炼计划、导师名单与预约安排</w:t>
            </w:r>
          </w:p>
        </w:tc>
        <w:tc>
          <w:tcPr>
            <w:tcW w:type="dxa" w:w="2688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辅导员、学生会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设计组</w:t>
            </w:r>
          </w:p>
        </w:tc>
        <w:tc>
          <w:tcPr>
            <w:tcW w:type="dxa" w:w="4608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主视觉、职业形象插画、动效设计</w:t>
            </w:r>
          </w:p>
        </w:tc>
        <w:tc>
          <w:tcPr>
            <w:tcW w:type="dxa" w:w="2688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设计学生团队／外包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技术组</w:t>
            </w:r>
          </w:p>
        </w:tc>
        <w:tc>
          <w:tcPr>
            <w:tcW w:type="dxa" w:w="4608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H5开发、匹配算法、测试、现场技术保障</w:t>
            </w:r>
          </w:p>
        </w:tc>
        <w:tc>
          <w:tcPr>
            <w:tcW w:type="dxa" w:w="2688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学生技术团队／信息技术部门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现场组</w:t>
            </w:r>
          </w:p>
        </w:tc>
        <w:tc>
          <w:tcPr>
            <w:tcW w:type="dxa" w:w="4608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引导、设备、物料、导师对接执行</w:t>
            </w:r>
          </w:p>
        </w:tc>
        <w:tc>
          <w:tcPr>
            <w:tcW w:type="dxa" w:w="2688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志愿者4—6名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2E74B5"/>
          <w:sz w:val="22"/>
        </w:rPr>
        <w:t>十、预算估算（参考）</w:t>
      </w:r>
    </w:p>
    <w:p>
      <w:r>
        <w:rPr>
          <w:rFonts w:ascii="微软雅黑" w:hAnsi="微软雅黑" w:eastAsia="微软雅黑"/>
          <w:b w:val="0"/>
          <w:sz w:val="22"/>
        </w:rPr>
        <w:t>以下为参考估算区间，最终以学院批复与可用资源为准。</w:t>
      </w:r>
    </w:p>
    <w:tbl>
      <w:tblPr>
        <w:tblStyle w:val="TableGrid"/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52"/>
        <w:gridCol w:w="2160"/>
        <w:gridCol w:w="4320"/>
        <w:gridCol w:w="1392"/>
      </w:tblGrid>
      <w:tr>
        <w:tc>
          <w:tcPr>
            <w:tcW w:type="dxa" w:w="1152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序号</w:t>
            </w:r>
          </w:p>
        </w:tc>
        <w:tc>
          <w:tcPr>
            <w:tcW w:type="dxa" w:w="2160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内容说明</w:t>
            </w:r>
          </w:p>
        </w:tc>
        <w:tc>
          <w:tcPr>
            <w:tcW w:type="dxa" w:w="1392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预估费用（参考）</w:t>
            </w:r>
          </w:p>
        </w:tc>
      </w:tr>
      <w:tr>
        <w:tc>
          <w:tcPr>
            <w:tcW w:type="dxa" w:w="1152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视觉设计</w:t>
            </w:r>
          </w:p>
        </w:tc>
        <w:tc>
          <w:tcPr>
            <w:tcW w:type="dxa" w:w="432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主视觉、五色体系、职业形象插画、动效素材</w:t>
            </w:r>
          </w:p>
        </w:tc>
        <w:tc>
          <w:tcPr>
            <w:tcW w:type="dxa" w:w="1392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0—8000元</w:t>
            </w:r>
          </w:p>
        </w:tc>
      </w:tr>
      <w:tr>
        <w:tc>
          <w:tcPr>
            <w:tcW w:type="dxa" w:w="1152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技术开发</w:t>
            </w:r>
          </w:p>
        </w:tc>
        <w:tc>
          <w:tcPr>
            <w:tcW w:type="dxa" w:w="432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大屏／手机H5、匹配算法、二维码、部署与测试</w:t>
            </w:r>
          </w:p>
        </w:tc>
        <w:tc>
          <w:tcPr>
            <w:tcW w:type="dxa" w:w="1392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0—10000元</w:t>
            </w:r>
          </w:p>
        </w:tc>
      </w:tr>
      <w:tr>
        <w:tc>
          <w:tcPr>
            <w:tcW w:type="dxa" w:w="1152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设备与网络</w:t>
            </w:r>
          </w:p>
        </w:tc>
        <w:tc>
          <w:tcPr>
            <w:tcW w:type="dxa" w:w="432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大屏／触控一体机租赁、备用平板、流量卡</w:t>
            </w:r>
          </w:p>
        </w:tc>
        <w:tc>
          <w:tcPr>
            <w:tcW w:type="dxa" w:w="1392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0—3000元</w:t>
            </w:r>
          </w:p>
        </w:tc>
      </w:tr>
      <w:tr>
        <w:tc>
          <w:tcPr>
            <w:tcW w:type="dxa" w:w="1152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物料制作</w:t>
            </w:r>
          </w:p>
        </w:tc>
        <w:tc>
          <w:tcPr>
            <w:tcW w:type="dxa" w:w="432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展板、海报、二维码台卡、操作手卡</w:t>
            </w:r>
          </w:p>
        </w:tc>
        <w:tc>
          <w:tcPr>
            <w:tcW w:type="dxa" w:w="1392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500—2000元</w:t>
            </w:r>
          </w:p>
        </w:tc>
      </w:tr>
      <w:tr>
        <w:tc>
          <w:tcPr>
            <w:tcW w:type="dxa" w:w="1152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备用金</w:t>
            </w:r>
          </w:p>
        </w:tc>
        <w:tc>
          <w:tcPr>
            <w:tcW w:type="dxa" w:w="432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应急采购、现场损耗</w:t>
            </w:r>
          </w:p>
        </w:tc>
        <w:tc>
          <w:tcPr>
            <w:tcW w:type="dxa" w:w="1392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300—500元</w:t>
            </w:r>
          </w:p>
        </w:tc>
      </w:tr>
      <w:tr>
        <w:tc>
          <w:tcPr>
            <w:tcW w:type="dxa" w:w="1152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合计</w:t>
            </w:r>
          </w:p>
        </w:tc>
        <w:tc>
          <w:tcPr>
            <w:tcW w:type="dxa" w:w="216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432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以学院确认后的方案为准</w:t>
            </w:r>
          </w:p>
        </w:tc>
        <w:tc>
          <w:tcPr>
            <w:tcW w:type="dxa" w:w="1392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待定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说明：若采用学生团队开发、学院现有设备，实际新增费用主要为物料与备用金，预计1000—2500元即可启动。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22"/>
        </w:rPr>
        <w:t>十一、风险分析与预案</w:t>
      </w:r>
    </w:p>
    <w:tbl>
      <w:tblPr>
        <w:tblStyle w:val="TableGrid"/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15"/>
        <w:gridCol w:w="2448"/>
        <w:gridCol w:w="4561"/>
      </w:tblGrid>
      <w:tr>
        <w:tc>
          <w:tcPr>
            <w:tcW w:type="dxa" w:w="2015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风险</w:t>
            </w:r>
          </w:p>
        </w:tc>
        <w:tc>
          <w:tcPr>
            <w:tcW w:type="dxa" w:w="2448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影响</w:t>
            </w:r>
          </w:p>
        </w:tc>
        <w:tc>
          <w:tcPr>
            <w:tcW w:type="dxa" w:w="4561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预案</w:t>
            </w:r>
          </w:p>
        </w:tc>
      </w:tr>
      <w:tr>
        <w:tc>
          <w:tcPr>
            <w:tcW w:type="dxa" w:w="2015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网络中断</w:t>
            </w:r>
          </w:p>
        </w:tc>
        <w:tc>
          <w:tcPr>
            <w:tcW w:type="dxa" w:w="2448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测试页无法访问</w:t>
            </w:r>
          </w:p>
        </w:tc>
        <w:tc>
          <w:tcPr>
            <w:tcW w:type="dxa" w:w="4561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本地部署＋离线兜底页，准备备用热点／流量卡</w:t>
            </w:r>
          </w:p>
        </w:tc>
      </w:tr>
      <w:tr>
        <w:tc>
          <w:tcPr>
            <w:tcW w:type="dxa" w:w="2015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大屏触控失灵</w:t>
            </w:r>
          </w:p>
        </w:tc>
        <w:tc>
          <w:tcPr>
            <w:tcW w:type="dxa" w:w="2448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活动体验卡顿</w:t>
            </w:r>
          </w:p>
        </w:tc>
        <w:tc>
          <w:tcPr>
            <w:tcW w:type="dxa" w:w="4561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备用平板2—3台，手机扫码分流</w:t>
            </w:r>
          </w:p>
        </w:tc>
      </w:tr>
      <w:tr>
        <w:tc>
          <w:tcPr>
            <w:tcW w:type="dxa" w:w="2015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排队人数过多</w:t>
            </w:r>
          </w:p>
        </w:tc>
        <w:tc>
          <w:tcPr>
            <w:tcW w:type="dxa" w:w="2448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等待时间过长</w:t>
            </w:r>
          </w:p>
        </w:tc>
        <w:tc>
          <w:tcPr>
            <w:tcW w:type="dxa" w:w="4561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支持手机扫码自助测试，现场分流引导</w:t>
            </w:r>
          </w:p>
        </w:tc>
      </w:tr>
      <w:tr>
        <w:tc>
          <w:tcPr>
            <w:tcW w:type="dxa" w:w="2015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匹配结论单一</w:t>
            </w:r>
          </w:p>
        </w:tc>
        <w:tc>
          <w:tcPr>
            <w:tcW w:type="dxa" w:w="2448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新生体验不佳</w:t>
            </w:r>
          </w:p>
        </w:tc>
        <w:tc>
          <w:tcPr>
            <w:tcW w:type="dxa" w:w="4561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展示第一、第二适配方向，标注“初步画像，仅供参考”</w:t>
            </w:r>
          </w:p>
        </w:tc>
      </w:tr>
      <w:tr>
        <w:tc>
          <w:tcPr>
            <w:tcW w:type="dxa" w:w="2015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导师时间冲突</w:t>
            </w:r>
          </w:p>
        </w:tc>
        <w:tc>
          <w:tcPr>
            <w:tcW w:type="dxa" w:w="2448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对接不畅</w:t>
            </w:r>
          </w:p>
        </w:tc>
        <w:tc>
          <w:tcPr>
            <w:tcW w:type="dxa" w:w="4561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采用预约制，线上交流兜底</w:t>
            </w:r>
          </w:p>
        </w:tc>
      </w:tr>
      <w:tr>
        <w:tc>
          <w:tcPr>
            <w:tcW w:type="dxa" w:w="2015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内容未定稿</w:t>
            </w:r>
          </w:p>
        </w:tc>
        <w:tc>
          <w:tcPr>
            <w:tcW w:type="dxa" w:w="2448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开发返工</w:t>
            </w:r>
          </w:p>
        </w:tc>
        <w:tc>
          <w:tcPr>
            <w:tcW w:type="dxa" w:w="4561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文案配置化管理，预留修改接口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2E74B5"/>
          <w:sz w:val="22"/>
        </w:rPr>
        <w:t>十二、后续延展与结语</w:t>
      </w:r>
    </w:p>
    <w:p>
      <w:pPr>
        <w:pStyle w:val="ListBullet"/>
      </w:pPr>
      <w:r>
        <w:t>测试数据沉淀为新生四年学业与体能规划参考，可在开学后结合班会、导师见面会持续使用。</w:t>
      </w:r>
    </w:p>
    <w:p>
      <w:pPr>
        <w:pStyle w:val="ListBullet"/>
      </w:pPr>
      <w:r>
        <w:t>每年更新词库、锻炼计划与导师信息，形成学院迎新品牌IP。</w:t>
      </w:r>
    </w:p>
    <w:p>
      <w:pPr>
        <w:pStyle w:val="ListBullet"/>
      </w:pPr>
      <w:r>
        <w:t>系统可扩展至其他专业／学院，更换词库与画像内容即可复用。</w:t>
      </w:r>
    </w:p>
    <w:p>
      <w:r>
        <w:rPr>
          <w:rFonts w:ascii="微软雅黑" w:hAnsi="微软雅黑" w:eastAsia="微软雅黑"/>
          <w:b w:val="0"/>
          <w:sz w:val="22"/>
        </w:rPr>
        <w:t>本项目以“五彩法途，筑梦未来”为主线，将职业启蒙、体能培优与导师引领融为一体，具有投入可控、复用性强、体验新颖的特点，建议按本计划书推进实施。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22"/>
        </w:rPr>
        <w:t>附录一：六大职业15个特质限定词（已确认版）</w:t>
      </w:r>
    </w:p>
    <w:tbl>
      <w:tblPr>
        <w:tblStyle w:val="TableGrid"/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60"/>
        <w:gridCol w:w="6864"/>
      </w:tblGrid>
      <w:tr>
        <w:tc>
          <w:tcPr>
            <w:tcW w:type="dxa" w:w="2160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职业方向</w:t>
            </w:r>
          </w:p>
        </w:tc>
        <w:tc>
          <w:tcPr>
            <w:tcW w:type="dxa" w:w="6864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15个特质限定词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律师</w:t>
            </w:r>
          </w:p>
        </w:tc>
        <w:tc>
          <w:tcPr>
            <w:tcW w:type="dxa" w:w="6864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思辨敏捷、口齿清晰、文笔流畅、逻辑缜密、善于沟通、临场应变、共情包容、抗压坚韧、细节敏锐、善于论证、灵活变通、责任心强、表达自信、复盘总结、维权果敢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法官</w:t>
            </w:r>
          </w:p>
        </w:tc>
        <w:tc>
          <w:tcPr>
            <w:tcW w:type="dxa" w:w="6864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公正无私、沉稳内敛、严谨审慎、是非分明、敬畏规则、客观理性、耐心细致、大局观强、坚守底线、思维缜密、克制谦和、履职尽责、明辨是非、廉洁自律、公允中立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检察官</w:t>
            </w:r>
          </w:p>
        </w:tc>
        <w:tc>
          <w:tcPr>
            <w:tcW w:type="dxa" w:w="6864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立场坚定、嫉恶扬善、严谨细致、敢于担当、权责明晰、洞察力强、恪守正义、执纪严明、求真务实、思维严谨、行动力强、忠于法治、严谨履职、敢于监督、清正自律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企业法务</w:t>
            </w:r>
          </w:p>
        </w:tc>
        <w:tc>
          <w:tcPr>
            <w:tcW w:type="dxa" w:w="6864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风控敏锐、细致严谨、合规审慎、统筹协调、务实高效、耐心细致、保密自律、思维周全、善于复盘、适配性强、成本可控、风险预判、流程规范、沟通稳妥、落地执行力强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AI伦理合规顾问</w:t>
            </w:r>
          </w:p>
        </w:tc>
        <w:tc>
          <w:tcPr>
            <w:tcW w:type="dxa" w:w="6864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创新思维、跨界融合、与时俱进、审慎包容、逻辑前沿、敬畏科技、坚守伦理、敏锐洞察、迭代学习、全局思辨、规则优化、数据敏感、合规前瞻、跨界思辨、求真务实</w:t>
            </w:r>
          </w:p>
        </w:tc>
      </w:tr>
      <w:tr>
        <w:tc>
          <w:tcPr>
            <w:tcW w:type="dxa" w:w="2160"/>
          </w:tcPr>
          <w:p>
            <w:r>
              <w:t>法学研究</w:t>
            </w:r>
          </w:p>
        </w:tc>
        <w:tc>
          <w:tcPr>
            <w:tcW w:type="dxa" w:w="6864"/>
          </w:tcPr>
          <w:p>
            <w:r>
              <w:t>求知若渴、问题意识、严谨求证、沉潜钻研、逻辑缜密、独立思考、批判思辨、文献深耕、跨学科视野、学术规范、追根溯源、善于归纳、持之以恒、文笔流畅、求真务实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2E74B5"/>
          <w:sz w:val="22"/>
        </w:rPr>
        <w:t>附录二：六大职业身体素质达标要求（已确认版）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2"/>
        </w:rPr>
        <w:t>（一）律师</w:t>
      </w:r>
    </w:p>
    <w:p>
      <w:pPr>
        <w:pStyle w:val="ListBullet"/>
      </w:pPr>
      <w:r>
        <w:t>无重大疾病、无传染性疾病，肢体协调，可适应高强度伏案工作、长期出差、跨城办案。</w:t>
      </w:r>
    </w:p>
    <w:p>
      <w:pPr>
        <w:pStyle w:val="ListBullet"/>
      </w:pPr>
      <w:r>
        <w:t>具备极强身体耐力与抗压能力，可适配日均10小时以上高强度工作、连续庭审、案件攻坚。</w:t>
      </w:r>
    </w:p>
    <w:p>
      <w:pPr>
        <w:pStyle w:val="ListBullet"/>
      </w:pPr>
      <w:r>
        <w:t>视力良好，无色盲色弱，可长期精读案卷、撰写文书。</w:t>
      </w:r>
    </w:p>
    <w:p>
      <w:pPr>
        <w:pStyle w:val="ListBullet"/>
      </w:pPr>
      <w:r>
        <w:t>精力充沛，心理素质稳定，可应对高频突发工作与庭审压力。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2"/>
        </w:rPr>
        <w:t>（二）法官</w:t>
      </w:r>
    </w:p>
    <w:p>
      <w:pPr>
        <w:pStyle w:val="ListBullet"/>
      </w:pPr>
      <w:r>
        <w:t>严格符合公务员录用体检通用标准，无传染病、无影响履职的身体缺陷。</w:t>
      </w:r>
    </w:p>
    <w:p>
      <w:pPr>
        <w:pStyle w:val="ListBullet"/>
      </w:pPr>
      <w:r>
        <w:t>五官端正、体态得体，具备良好精神风貌，适配庭审履职场景。</w:t>
      </w:r>
    </w:p>
    <w:p>
      <w:pPr>
        <w:pStyle w:val="ListBullet"/>
      </w:pPr>
      <w:r>
        <w:t>视力达标，无色盲色弱，可长期审阅卷宗、研判案件。</w:t>
      </w:r>
    </w:p>
    <w:p>
      <w:pPr>
        <w:pStyle w:val="ListBullet"/>
      </w:pPr>
      <w:r>
        <w:t>身心稳定，耐力充足，可适应连续开庭、密集合议、加班办案的高强度工作节奏，情绪调控能力强。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2"/>
        </w:rPr>
        <w:t>（三）检察官</w:t>
      </w:r>
    </w:p>
    <w:p>
      <w:pPr>
        <w:pStyle w:val="ListBullet"/>
      </w:pPr>
      <w:r>
        <w:t>符合检察系统公务员体检标准，身体健康、体态端正，无任何影响执法履职的疾病与缺陷。</w:t>
      </w:r>
    </w:p>
    <w:p>
      <w:pPr>
        <w:pStyle w:val="ListBullet"/>
      </w:pPr>
      <w:r>
        <w:t>心肺功能良好，可适配案件侦查、外出取证、跨省办案等外勤工作。</w:t>
      </w:r>
    </w:p>
    <w:p>
      <w:pPr>
        <w:pStyle w:val="ListBullet"/>
      </w:pPr>
      <w:r>
        <w:t>视力、听力达标，感官敏锐，适配证据审查、庭审履职工作。</w:t>
      </w:r>
    </w:p>
    <w:p>
      <w:pPr>
        <w:pStyle w:val="ListBullet"/>
      </w:pPr>
      <w:r>
        <w:t>抗压能力突出，可适应重大疑难案件攻坚、常态化加班值守工作节奏。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2"/>
        </w:rPr>
        <w:t>（四）企业法务</w:t>
      </w:r>
    </w:p>
    <w:p>
      <w:pPr>
        <w:pStyle w:val="ListBullet"/>
      </w:pPr>
      <w:r>
        <w:t>身体健康，无慢性重大疾病，可长期伏案完成合同审核、合规梳理、文书撰写等静态工作。</w:t>
      </w:r>
    </w:p>
    <w:p>
      <w:pPr>
        <w:pStyle w:val="ListBullet"/>
      </w:pPr>
      <w:r>
        <w:t>体态良好，精神状态佳，适配商务谈判、企业合规宣讲、跨部门对接场景。</w:t>
      </w:r>
    </w:p>
    <w:p>
      <w:pPr>
        <w:pStyle w:val="ListBullet"/>
      </w:pPr>
      <w:r>
        <w:t>精力充沛，可应对企业合规整改、专项审计、突发风险处置等阶段性高强度工作。</w:t>
      </w:r>
    </w:p>
    <w:p>
      <w:pPr>
        <w:pStyle w:val="ListBullet"/>
      </w:pPr>
      <w:r>
        <w:t>身心稳定，可适配常态化加班、出差调研等工作需求。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2"/>
        </w:rPr>
        <w:t>（五）AI伦理合规顾问</w:t>
      </w:r>
    </w:p>
    <w:p>
      <w:pPr>
        <w:pStyle w:val="ListBullet"/>
      </w:pPr>
      <w:r>
        <w:t>身体健康，适配长期伏案研究、数据研判、政策研读、方案撰写工作。</w:t>
      </w:r>
    </w:p>
    <w:p>
      <w:pPr>
        <w:pStyle w:val="ListBullet"/>
      </w:pPr>
      <w:r>
        <w:t>视力、颈椎状态良好，可适应长期电脑办公、前沿技术调研、行业峰会对接。</w:t>
      </w:r>
    </w:p>
    <w:p>
      <w:pPr>
        <w:pStyle w:val="ListBullet"/>
      </w:pPr>
      <w:r>
        <w:t>精力充沛，具备持续学习的身体基础，适配行业快速迭代、新规更新的工作节奏。</w:t>
      </w:r>
    </w:p>
    <w:p>
      <w:pPr>
        <w:pStyle w:val="ListBullet"/>
      </w:pPr>
      <w:r>
        <w:t>身心抗压性强，可应对合规项目攻坚、技术伦理争议研判等高压工作场景。</w:t>
      </w:r>
    </w:p>
    <w:p>
      <w:pPr>
        <w:pStyle w:val="Heading2"/>
      </w:pPr>
      <w:r>
        <w:t>（六）法学研究</w:t>
      </w:r>
    </w:p>
    <w:p>
      <w:pPr>
        <w:pStyle w:val="ListBullet"/>
      </w:pPr>
      <w:r>
        <w:t>身体健康，无影响长期伏案学习与科研工作的重大疾病。</w:t>
      </w:r>
    </w:p>
    <w:p>
      <w:pPr>
        <w:pStyle w:val="ListBullet"/>
      </w:pPr>
      <w:r>
        <w:t>视力、颈椎与腰椎状态良好，可适应长时间文献研读、论文写作与电脑办公。</w:t>
      </w:r>
    </w:p>
    <w:p>
      <w:pPr>
        <w:pStyle w:val="ListBullet"/>
      </w:pPr>
      <w:r>
        <w:t>精力充沛、耐力稳定，可支撑研究生涯的持续专注与高密度阅读写作。</w:t>
      </w:r>
    </w:p>
    <w:p>
      <w:pPr>
        <w:pStyle w:val="ListBullet"/>
      </w:pPr>
      <w:r>
        <w:t>心理素质稳定，可应对学术压力、论文攻坚与科研项目周期。</w:t>
      </w:r>
    </w:p>
    <w:p>
      <w:pPr>
        <w:pStyle w:val="Heading1"/>
      </w:pPr>
      <w:r>
        <w:rPr>
          <w:rFonts w:ascii="微软雅黑" w:hAnsi="微软雅黑" w:eastAsia="微软雅黑"/>
          <w:b/>
          <w:color w:val="2E74B5"/>
          <w:sz w:val="22"/>
        </w:rPr>
        <w:t>附录三：大学四年体育锻炼计划（示例草案）</w:t>
      </w:r>
    </w:p>
    <w:p>
      <w:r>
        <w:rPr>
          <w:rFonts w:ascii="微软雅黑" w:hAnsi="微软雅黑" w:eastAsia="微软雅黑"/>
          <w:b w:val="0"/>
          <w:sz w:val="22"/>
        </w:rPr>
        <w:t>本表为示例草案，供体育教研／校医院老师审定参考；正式版审定后录入系统。</w:t>
      </w:r>
    </w:p>
    <w:tbl>
      <w:tblPr>
        <w:tblStyle w:val="TableGrid"/>
        <w:tblW w:type="dxa" w:w="9024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40"/>
        <w:gridCol w:w="1900"/>
        <w:gridCol w:w="1900"/>
        <w:gridCol w:w="1900"/>
        <w:gridCol w:w="1884"/>
      </w:tblGrid>
      <w:tr>
        <w:tc>
          <w:tcPr>
            <w:tcW w:type="dxa" w:w="1440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职业</w:t>
            </w:r>
          </w:p>
        </w:tc>
        <w:tc>
          <w:tcPr>
            <w:tcW w:type="dxa" w:w="1900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大一：体能筑基</w:t>
            </w:r>
          </w:p>
        </w:tc>
        <w:tc>
          <w:tcPr>
            <w:tcW w:type="dxa" w:w="1900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大二：专项强化</w:t>
            </w:r>
          </w:p>
        </w:tc>
        <w:tc>
          <w:tcPr>
            <w:tcW w:type="dxa" w:w="1900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大三：职业场景模拟</w:t>
            </w:r>
          </w:p>
        </w:tc>
        <w:tc>
          <w:tcPr>
            <w:tcW w:type="dxa" w:w="1884"/>
            <w:shd w:val="clear" w:color="auto" w:fill="F4F6F9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大四：达标冲刺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律师</w:t>
            </w:r>
          </w:p>
        </w:tc>
        <w:tc>
          <w:tcPr>
            <w:tcW w:type="dxa" w:w="190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每周3次有氧（慢跑／游泳／骑行，每次30分钟以上）＋核心力量2次，建立规律作息</w:t>
            </w:r>
          </w:p>
        </w:tc>
        <w:tc>
          <w:tcPr>
            <w:tcW w:type="dxa" w:w="190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肩颈、腰背力量每周2—3次，加入HIIT提升心肺与抗压耐力，学习久坐间隙放松</w:t>
            </w:r>
          </w:p>
        </w:tc>
        <w:tc>
          <w:tcPr>
            <w:tcW w:type="dxa" w:w="190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模拟连续开庭与出差节奏，训练连续专注与短时恢复；每月1次长距离耐力项目</w:t>
            </w:r>
          </w:p>
        </w:tc>
        <w:tc>
          <w:tcPr>
            <w:tcW w:type="dxa" w:w="1884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对照律所体检要求自查，保持每周3次综合训练，维持体能与精力水平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法官</w:t>
            </w:r>
          </w:p>
        </w:tc>
        <w:tc>
          <w:tcPr>
            <w:tcW w:type="dxa" w:w="190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按公务员体检标准完成预检，建立慢跑＋拉伸习惯，改善体态</w:t>
            </w:r>
          </w:p>
        </w:tc>
        <w:tc>
          <w:tcPr>
            <w:tcW w:type="dxa" w:w="190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站姿坐姿形体训练，下肢耐力训练，适配连续开庭久坐／久站</w:t>
            </w:r>
          </w:p>
        </w:tc>
        <w:tc>
          <w:tcPr>
            <w:tcW w:type="dxa" w:w="190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长时间庭审模拟下的注意力训练，情绪调节与放松练习</w:t>
            </w:r>
          </w:p>
        </w:tc>
        <w:tc>
          <w:tcPr>
            <w:tcW w:type="dxa" w:w="1884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体检复查与达标冲刺，保持有氧＋核心训练常态化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检察官</w:t>
            </w:r>
          </w:p>
        </w:tc>
        <w:tc>
          <w:tcPr>
            <w:tcW w:type="dxa" w:w="190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中长跑、游泳等有氧每周3次，下肢与核心力量训练</w:t>
            </w:r>
          </w:p>
        </w:tc>
        <w:tc>
          <w:tcPr>
            <w:tcW w:type="dxa" w:w="190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急行、爬楼、负重模拟等外勤场景训练，反应与灵敏度练习</w:t>
            </w:r>
          </w:p>
        </w:tc>
        <w:tc>
          <w:tcPr>
            <w:tcW w:type="dxa" w:w="190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连续取证／跨省办案场景的体力分配训练，力量耐力提升</w:t>
            </w:r>
          </w:p>
        </w:tc>
        <w:tc>
          <w:tcPr>
            <w:tcW w:type="dxa" w:w="1884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体检达标冲刺，建立可持续训练计划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企业法务</w:t>
            </w:r>
          </w:p>
        </w:tc>
        <w:tc>
          <w:tcPr>
            <w:tcW w:type="dxa" w:w="190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每周3次有氧＋核心训练，建立健康作息与久坐防护习惯</w:t>
            </w:r>
          </w:p>
        </w:tc>
        <w:tc>
          <w:tcPr>
            <w:tcW w:type="dxa" w:w="190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商务体态管理，精力分配训练，肩颈保护</w:t>
            </w:r>
          </w:p>
        </w:tc>
        <w:tc>
          <w:tcPr>
            <w:tcW w:type="dxa" w:w="190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模拟连续审核与出差的高强度节奏，压力释放与睡眠管理</w:t>
            </w:r>
          </w:p>
        </w:tc>
        <w:tc>
          <w:tcPr>
            <w:tcW w:type="dxa" w:w="1884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体能维持与体检自查，固化职业精力管理习惯</w:t>
            </w:r>
          </w:p>
        </w:tc>
      </w:tr>
      <w:tr>
        <w:tc>
          <w:tcPr>
            <w:tcW w:type="dxa" w:w="1440"/>
          </w:tcPr>
          <w:p>
            <w:pPr>
              <w:spacing w:before="40" w:after="4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AI伦理合规顾问</w:t>
            </w:r>
          </w:p>
        </w:tc>
        <w:tc>
          <w:tcPr>
            <w:tcW w:type="dxa" w:w="190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有氧训练＋颈椎肩颈防护操，控制屏幕连续时长</w:t>
            </w:r>
          </w:p>
        </w:tc>
        <w:tc>
          <w:tcPr>
            <w:tcW w:type="dxa" w:w="190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眼健康训练（远眺、眼肌放松）＋核心力量，适应长期研究</w:t>
            </w:r>
          </w:p>
        </w:tc>
        <w:tc>
          <w:tcPr>
            <w:tcW w:type="dxa" w:w="1900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骑行、球类等脑体结合运动，高强度调研耐力储备</w:t>
            </w:r>
          </w:p>
        </w:tc>
        <w:tc>
          <w:tcPr>
            <w:tcW w:type="dxa" w:w="1884"/>
          </w:tcPr>
          <w:p>
            <w:pPr>
              <w:spacing w:before="40" w:after="4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规律训练保持，结合实习／行业场景模拟</w:t>
            </w:r>
          </w:p>
        </w:tc>
      </w:tr>
      <w:tr>
        <w:tc>
          <w:tcPr>
            <w:tcW w:type="dxa" w:w="1440"/>
          </w:tcPr>
          <w:p>
            <w:r>
              <w:t>法学研究</w:t>
            </w:r>
          </w:p>
        </w:tc>
        <w:tc>
          <w:tcPr>
            <w:tcW w:type="dxa" w:w="1900"/>
          </w:tcPr>
          <w:p>
            <w:r>
              <w:t>每周3次有氧＋核心训练，建立规律作息与久坐防护习惯，保护颈椎与视力</w:t>
            </w:r>
          </w:p>
        </w:tc>
        <w:tc>
          <w:tcPr>
            <w:tcW w:type="dxa" w:w="1900"/>
          </w:tcPr>
          <w:p>
            <w:r>
              <w:t>肩颈、眼健康训练常态化，配合长时阅读的坐姿管理与专注力训练</w:t>
            </w:r>
          </w:p>
        </w:tc>
        <w:tc>
          <w:tcPr>
            <w:tcW w:type="dxa" w:w="1900"/>
          </w:tcPr>
          <w:p>
            <w:r>
              <w:t>模拟论文冲刺与课题攻坚节奏，训练压力释放、睡眠管理与耐力储备</w:t>
            </w:r>
          </w:p>
        </w:tc>
        <w:tc>
          <w:tcPr>
            <w:tcW w:type="dxa" w:w="1884"/>
          </w:tcPr>
          <w:p>
            <w:r>
              <w:t>结合考研、科研与升学体检自查，保持规律训练，固化终身锻炼习惯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微软雅黑" w:hAnsi="微软雅黑" w:eastAsia="微软雅黑"/>
        <w:b w:val="0"/>
        <w:color w:val="595959"/>
        <w:sz w:val="18"/>
      </w:rPr>
      <w:t>内部资料 · 供学院审阅</w:t>
    </w:r>
    <w:r>
      <w:rPr>
        <w:rFonts w:ascii="微软雅黑" w:hAnsi="微软雅黑" w:eastAsia="微软雅黑"/>
        <w:b w:val="0"/>
        <w:color w:val="595959"/>
        <w:sz w:val="18"/>
      </w:rPr>
      <w:tab/>
    </w:r>
    <w:r>
      <w:rPr>
        <w:rFonts w:ascii="微软雅黑" w:hAnsi="微软雅黑" w:eastAsia="微软雅黑"/>
        <w:b w:val="0"/>
        <w:color w:val="595959"/>
        <w:sz w:val="18"/>
      </w:rPr>
      <w:t xml:space="preserve">第 </w:t>
    </w:r>
    <w:r>
      <w:rPr>
        <w:rFonts w:ascii="微软雅黑" w:hAnsi="微软雅黑" w:eastAsia="微软雅黑"/>
        <w:b w:val="0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pBdr>
        <w:bottom w:val="single" w:sz="4" w:space="2" w:color="BFBFBF"/>
      </w:pBdr>
    </w:pPr>
    <w:r>
      <w:rPr>
        <w:rFonts w:ascii="微软雅黑" w:hAnsi="微软雅黑" w:eastAsia="微软雅黑"/>
        <w:b w:val="0"/>
        <w:color w:val="595959"/>
        <w:sz w:val="18"/>
      </w:rPr>
      <w:t>法学院迎新“五彩职业选择”主题活动项目计划书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260"/>
        </w:tabs>
        <w:ind w:left="540" w:hanging="28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260"/>
        </w:tabs>
        <w:ind w:left="540" w:hanging="28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260"/>
        </w:tabs>
        <w:ind w:left="540" w:hanging="2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260"/>
        </w:tabs>
        <w:ind w:left="540" w:hanging="28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260"/>
        </w:tabs>
        <w:ind w:left="540" w:hanging="28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260"/>
        </w:tabs>
        <w:ind w:left="540" w:hanging="2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260"/>
        </w:tabs>
        <w:ind w:left="540" w:hanging="28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260"/>
        </w:tabs>
        <w:ind w:left="540" w:hanging="28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260"/>
        </w:tabs>
        <w:ind w:left="540" w:hanging="28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微软雅黑" w:hAnsi="微软雅黑" w:eastAsia="微软雅黑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20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20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20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20" w:lineRule="auto" w:before="12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80" w:line="320" w:lineRule="auto"/>
    </w:pPr>
    <w:rPr>
      <w:rFonts w:asciiTheme="majorHAnsi" w:eastAsiaTheme="majorEastAsia" w:hAnsiTheme="majorHAnsi" w:cstheme="majorBidi" w:ascii="微软雅黑" w:hAnsi="微软雅黑" w:eastAsia="微软雅黑"/>
      <w:b/>
      <w:i/>
      <w:iCs/>
      <w:color w:val="2E74B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90" w:lineRule="auto"/>
      <w:ind w:left="539" w:hanging="278"/>
      <w:contextualSpacing/>
    </w:pPr>
    <w:rPr>
      <w:rFonts w:ascii="微软雅黑" w:hAnsi="微软雅黑" w:eastAsia="微软雅黑"/>
      <w:b w:val="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90" w:lineRule="auto"/>
      <w:ind w:left="539" w:hanging="278"/>
      <w:contextualSpacing/>
    </w:pPr>
    <w:rPr>
      <w:rFonts w:ascii="微软雅黑" w:hAnsi="微软雅黑" w:eastAsia="微软雅黑"/>
      <w:b w:val="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