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VI. Synthèse — Convergences Formantiques</w:t>
      </w:r>
    </w:p>
    <w:p>
      <w:r>
        <w:rPr>
          <w:b w:val="0"/>
          <w:i w:val="0"/>
          <w:sz w:val="20"/>
        </w:rPr>
        <w:t>Synthèse des découvertes principales de l'analyse formantique. 93 % de concordance multi-sources (27/29 instruments).</w:t>
      </w:r>
    </w:p>
    <w:p>
      <w:pPr>
        <w:pStyle w:val="Heading2"/>
      </w:pPr>
      <w:r>
        <w:rPr>
          <w:color w:val="B71C1C"/>
        </w:rPr>
        <w:t>Le Cluster de Convergence 450–502 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4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e_clu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134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Famille</w:t>
            </w:r>
          </w:p>
        </w:tc>
        <w:tc>
          <w:tcPr>
            <w:tcW w:type="dxa" w:w="850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850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1134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Δ vs Violoncelle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 Hz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Cuivres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 Hz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Cuivres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 Hz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Cuivres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Hz</w:t>
            </w:r>
          </w:p>
        </w:tc>
      </w:tr>
      <w:tr>
        <w:tc>
          <w:tcPr>
            <w:tcW w:type="dxa" w:w="1701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134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Cordes</w:t>
            </w:r>
          </w:p>
        </w:tc>
        <w:tc>
          <w:tcPr>
            <w:tcW w:type="dxa" w:w="850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850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134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Bois</w:t>
            </w:r>
          </w:p>
        </w:tc>
        <w:tc>
          <w:tcPr>
            <w:tcW w:type="dxa" w:w="850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850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Hz ★</w:t>
            </w:r>
          </w:p>
        </w:tc>
      </w:tr>
    </w:tbl>
    <w:p/>
    <w:p>
      <w:pPr>
        <w:pStyle w:val="Heading2"/>
      </w:pPr>
      <w:r>
        <w:rPr>
          <w:color w:val="2E7D32"/>
        </w:rPr>
        <w:t>Positions F1/Fp — 20 instruments de 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8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e_f1_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9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D32"/>
        </w:rPr>
        <w:t>Matrice de Convergence — Instruments de base</w:t>
      </w:r>
    </w:p>
    <w:p>
      <w:r>
        <w:rPr>
          <w:b w:val="0"/>
          <w:i/>
          <w:sz w:val="20"/>
        </w:rPr>
        <w:t>Valeurs en Hz entre F1 des paires d'instruments. Vert = forte convergence (Δ faible).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96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e_matrix_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6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D32"/>
        </w:rPr>
        <w:t>Matrice de Convergence — Tous instruments (avec sourdines)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891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e_matrix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16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D32"/>
        </w:rPr>
        <w:t>Tableau des Doublures Vérifiées (classées par 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417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Inst. A</w:t>
            </w:r>
          </w:p>
        </w:tc>
        <w:tc>
          <w:tcPr>
            <w:tcW w:type="dxa" w:w="62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F1 A</w:t>
            </w:r>
          </w:p>
        </w:tc>
        <w:tc>
          <w:tcPr>
            <w:tcW w:type="dxa" w:w="1417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Inst. B</w:t>
            </w:r>
          </w:p>
        </w:tc>
        <w:tc>
          <w:tcPr>
            <w:tcW w:type="dxa" w:w="62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F1 B</w:t>
            </w:r>
          </w:p>
        </w:tc>
        <w:tc>
          <w:tcPr>
            <w:tcW w:type="dxa" w:w="624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Δ (Hz)</w:t>
            </w:r>
          </w:p>
        </w:tc>
        <w:tc>
          <w:tcPr>
            <w:tcW w:type="dxa" w:w="1247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Qualité</w:t>
            </w:r>
          </w:p>
        </w:tc>
        <w:tc>
          <w:tcPr>
            <w:tcW w:type="dxa" w:w="51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102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Rapport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Basson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Violoncelle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 ★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Trombone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Violoncelle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Trombone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Basson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Tuba contrebasse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Octave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Trb. basse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894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Cl. basse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909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/a/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Trombone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Tuba contrebasse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Octave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Contrebasson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Tuba basse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/u/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Contrebasson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Contrebasse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/u/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Cl. Sib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1016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 Fp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1045</w:t>
            </w:r>
          </w:p>
        </w:tc>
        <w:tc>
          <w:tcPr>
            <w:tcW w:type="dxa" w:w="624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/a/</w:t>
            </w:r>
          </w:p>
        </w:tc>
        <w:tc>
          <w:tcPr>
            <w:tcW w:type="dxa" w:w="102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Trombone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4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Violoncelle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24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Basson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Violoncelle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Basson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  <w:tc>
          <w:tcPr>
            <w:tcW w:type="dxa" w:w="102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Flûte Fp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1535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Hautbois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1460</w:t>
            </w:r>
          </w:p>
        </w:tc>
        <w:tc>
          <w:tcPr>
            <w:tcW w:type="dxa" w:w="624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24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Bonne</w:t>
            </w:r>
          </w:p>
        </w:tc>
        <w:tc>
          <w:tcPr>
            <w:tcW w:type="dxa" w:w="51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/e/</w:t>
            </w:r>
          </w:p>
        </w:tc>
        <w:tc>
          <w:tcPr>
            <w:tcW w:type="dxa" w:w="102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6"/>
              </w:rPr>
              <w:t>Ens. violons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Hautbois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/e/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Hautbois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 Fp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Bonne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/å/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Fp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Trompette Fp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Complémentaire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/a/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 Fp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6"/>
              </w:rPr>
              <w:t>Cl. Sib Fp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Complémentaire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/a/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1A237E"/>
        </w:rPr>
        <w:t>6 Principes d'Orchestration Acoustique</w:t>
      </w:r>
    </w:p>
    <w:p>
      <w:pPr>
        <w:pStyle w:val="Heading3"/>
      </w:pPr>
      <w:r>
        <w:rPr>
          <w:color w:val="4A148C"/>
        </w:rPr>
        <w:t>1. Convergence formantique (fusion)</w:t>
      </w:r>
    </w:p>
    <w:p>
      <w:r>
        <w:rPr>
          <w:b w:val="0"/>
          <w:i w:val="0"/>
          <w:sz w:val="20"/>
        </w:rPr>
        <w:t>Quand deux instruments partagent un F1 similaire (Δ ≤ 80 Hz), leurs timbres fusionnent : l'oreille perçoit une couleur homogène. Cas archétypal : Basson (502) + Violoncelle (499) = Δ=3 Hz.</w:t>
      </w:r>
    </w:p>
    <w:p>
      <w:pPr>
        <w:pStyle w:val="Heading3"/>
      </w:pPr>
      <w:r>
        <w:rPr>
          <w:color w:val="4A148C"/>
        </w:rPr>
        <w:t>2. Complémentarité spectrale (enrichissement)</w:t>
      </w:r>
    </w:p>
    <w:p>
      <w:r>
        <w:rPr>
          <w:b w:val="0"/>
          <w:i w:val="0"/>
          <w:sz w:val="20"/>
        </w:rPr>
        <w:t>Quand deux instruments ont des F1 très différents, ils s'enrichissent mutuellement en couvrant des zones vocaliques complémentaires. Exemple : Flûte (/e/) + Cor anglais (/o/) = timbre bois large bande.</w:t>
      </w:r>
    </w:p>
    <w:p>
      <w:pPr>
        <w:pStyle w:val="Heading3"/>
      </w:pPr>
      <w:r>
        <w:rPr>
          <w:color w:val="4A148C"/>
        </w:rPr>
        <w:t>3. Effet de section (compression formantique)</w:t>
      </w:r>
    </w:p>
    <w:p>
      <w:r>
        <w:rPr>
          <w:b w:val="0"/>
          <w:i w:val="0"/>
          <w:sz w:val="20"/>
        </w:rPr>
        <w:t>Les cordes en ensemble développent un F1 collectif significativement plus haut qu'en solo (Violon solo: 506 Hz → Ensemble: 1 556 Hz). Cet effet de section est un paramètre d'orchestration distinct du solo.</w:t>
      </w:r>
    </w:p>
    <w:p>
      <w:pPr>
        <w:pStyle w:val="Heading3"/>
      </w:pPr>
      <w:r>
        <w:rPr>
          <w:color w:val="4A148C"/>
        </w:rPr>
        <w:t>4. La sourdine comme transposition timbrale</w:t>
      </w:r>
    </w:p>
    <w:p>
      <w:r>
        <w:rPr>
          <w:b w:val="0"/>
          <w:i w:val="0"/>
          <w:sz w:val="20"/>
        </w:rPr>
        <w:t>Les sourdines déplacent le spectre formantique de manière prévisible : cup = abaissement et voilement, straight = compression médium, harmon = propulsion extrême vers le /i/ (2 358 Hz pour la trompette).</w:t>
      </w:r>
    </w:p>
    <w:p>
      <w:pPr>
        <w:pStyle w:val="Heading3"/>
      </w:pPr>
      <w:r>
        <w:rPr>
          <w:color w:val="4A148C"/>
        </w:rPr>
        <w:t>5. Familles formantiques transversales</w:t>
      </w:r>
    </w:p>
    <w:p>
      <w:r>
        <w:rPr>
          <w:b w:val="0"/>
          <w:i w:val="0"/>
          <w:sz w:val="20"/>
        </w:rPr>
        <w:t>Le cluster /o/ (450–502 Hz) réunit des instruments de trois familles différentes (Bois, Cuivres, Cordes), créant une famille acoustique transversale plus pertinente que les familles traditionnelles pour prédire les fusions timbrales.</w:t>
      </w:r>
    </w:p>
    <w:p>
      <w:pPr>
        <w:pStyle w:val="Heading3"/>
      </w:pPr>
      <w:r>
        <w:rPr>
          <w:color w:val="4A148C"/>
        </w:rPr>
        <w:t>6. Masquage évité</w:t>
      </w:r>
    </w:p>
    <w:p>
      <w:r>
        <w:rPr>
          <w:b w:val="0"/>
          <w:i w:val="0"/>
          <w:sz w:val="20"/>
        </w:rPr>
        <w:t>Placer deux instruments dans la même zone vocalique sans convergence formantique (Δ = 80–200 Hz) peut créer du masquage spectral — l'un couvre l'autre. La divergence intentionnelle (Δ &gt; 300 Hz) garantit la lisibilité timbrale de chaque voix.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