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VIII. Étude du Volume — Attributs du timbre selon Koechlin</w:t>
      </w:r>
    </w:p>
    <w:p>
      <w:pPr>
        <w:pStyle w:val="Heading2"/>
      </w:pPr>
      <w:r>
        <w:rPr>
          <w:color w:val="2E7D32"/>
        </w:rPr>
        <w:t>Cadre théorique</w:t>
      </w:r>
    </w:p>
    <w:p>
      <w:r>
        <w:rPr>
          <w:b w:val="0"/>
          <w:i w:val="0"/>
          <w:sz w:val="20"/>
        </w:rPr>
        <w:t>Charles Koechlin, dans son Traité de l'orchestration (1954), a proposé un système d'attributs généraux du timbre — volume, intensité, transparence, densité — permettant de prédire quels mélanges sonneront fondus ou hétérogènes. Le volume selon Koechlin n'est pas l'intensité sonore, mais la place qu'un son semble occuper dans l'espace : une note grave de flûte est volumineuse mais faible, tandis qu'une note médium de hautbois est mince mais intense. Koechlin illustre cette distinction par une métaphore astronomique : la flûte comme une étoile géante de densité minimale, le hautbois comme une étoile naine dense (Chiasson &amp; Duchesneau, 2008 ; Chiasson, 2010).</w:t>
      </w:r>
    </w:p>
    <w:p>
      <w:r>
        <w:rPr>
          <w:b w:val="0"/>
          <w:i w:val="0"/>
          <w:sz w:val="20"/>
        </w:rPr>
        <w:t>Cette section opérationnalise ces concepts par l'analyse spectrale de 51 instruments (sourdines comprises), totalisant 5 758 échantillons sur 185 segments de registre.</w:t>
      </w:r>
    </w:p>
    <w:p>
      <w:pPr>
        <w:pStyle w:val="Heading2"/>
      </w:pPr>
      <w:r>
        <w:rPr>
          <w:color w:val="2E7D32"/>
        </w:rPr>
        <w:t>Méthodologie : Indice de Volume composite</w:t>
      </w:r>
    </w:p>
    <w:p>
      <w:r>
        <w:rPr>
          <w:b w:val="0"/>
          <w:i w:val="0"/>
          <w:sz w:val="20"/>
        </w:rPr>
        <w:t>L'Indice de Volume combine quatre descripteurs spectraux, chacun capturant une facette de la « taille » perçue d'un son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1A237E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Composante</w:t>
            </w:r>
          </w:p>
        </w:tc>
        <w:tc>
          <w:tcPr>
            <w:tcW w:type="dxa" w:w="3230"/>
            <w:shd w:fill="1A237E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Formule</w:t>
            </w:r>
          </w:p>
        </w:tc>
        <w:tc>
          <w:tcPr>
            <w:tcW w:type="dxa" w:w="3230"/>
            <w:shd w:fill="1A237E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Signification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V₁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Spread / Centroïde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Largeur spectrale relative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V₂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E&lt;1kHz / E_total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Ratio d'énergie basse fréquence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V₃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 / ΔF̄ (formants)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Dispersion formantique inverse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V₄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MFCC₁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Pente spectrale mel</w:t>
            </w:r>
          </w:p>
        </w:tc>
      </w:tr>
    </w:tbl>
    <w:p>
      <w:r>
        <w:rPr>
          <w:b w:val="0"/>
          <w:i w:val="0"/>
          <w:sz w:val="20"/>
        </w:rPr>
        <w:t>Chaque composante est normalisée en z-score puis moyennée : 𝒱 = ¼ (V̂₁ + V̂₂ + V̂₃ + V̂₄). Densité 𝒟 = −𝒱 (Stevens, 1965 : Loudness = Volume × Density). La corrélation de Spearman avec l'échelle de Koechlin (vol. I, p. 288) atteint ρ = −0,76 (p &lt; 0,002, n = 17 instruments de base).</w:t>
      </w:r>
    </w:p>
    <w:p>
      <w:pPr>
        <w:pStyle w:val="Heading2"/>
      </w:pPr>
      <w:r>
        <w:rPr>
          <w:color w:val="2E7D32"/>
        </w:rPr>
        <w:t>Indice de Volume par instrument et registre</w:t>
      </w:r>
    </w:p>
    <w:p>
      <w:r>
        <w:rPr>
          <w:b w:val="0"/>
          <w:i/>
          <w:sz w:val="16"/>
        </w:rPr>
        <w:t>Classé du plus volumineux au plus mince (185 entrées).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Instrument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Registre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N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Centroïde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V₁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V₂</w:t>
            </w:r>
          </w:p>
        </w:tc>
        <w:tc>
          <w:tcPr>
            <w:tcW w:type="dxa" w:w="1384"/>
            <w:shd w:fill="37474F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Volume 𝒱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contrebasses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2.9217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0.9993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1.483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2.9850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0.9988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1.353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661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2.8135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0.9958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1.314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2.4814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0.9965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1.220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2.4516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0.9854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1.216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1.9680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0.9983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1.216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2.6353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0.9890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1.208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3.0001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0.9903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1.182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2.5006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0.9949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1.181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2.2470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0.9763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1.173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contrebasses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608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2.3290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0.9930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1.168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2.5507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0.9950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1.152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1.8403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0.9972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1.141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2.6753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1.134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2.4590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1.120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Marimba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3.3401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0.9999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1.069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2.6681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0.9982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2.5322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0.9972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1.038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1.7256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0.9975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1.035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2.2822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0.9949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1.021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pédale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555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2.5667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0.9997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1.017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1.6601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0.9984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1.7389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0.9966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1.015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1.8281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0.9965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1.012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2.5467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0.9972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1.002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2.3336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0.9908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702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2.0864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0.9786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0.922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799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2.0309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0.9967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0.915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2.1550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0.9779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0.911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2.1918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0.9884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0.898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2.0454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0.9940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0.893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1.8095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0.879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Vibraphone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470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2.2465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0.9995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0.870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1.5977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0.8984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0.858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865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2.1387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0.9102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0.854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1.9604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0.9849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0.815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799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1.8392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0.9795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0.810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1.7984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0.9932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0.779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alt.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1.7007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0.9973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pédale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2.0929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0.9682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0.758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bas_médium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1.8500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0.9636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0.753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1.6016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0.9740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0.742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contrebasses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1.6758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0.9637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0.717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1.9241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0.9405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0.674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962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1.9638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0.8787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0.667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1.8954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0.9164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2.0425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0.9465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1.6354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0.9788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0.664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583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1.6311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0.9924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0.651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1.7657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0.9740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cb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1.6234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0.7988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0.635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1.7461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0.9403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0.631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1.9821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0.9703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0.601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cb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1.5211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0.8350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0.592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1.6279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0.9790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0.582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alt.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1.6171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0.9883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0.559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944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1.4992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0.9062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0.547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Sib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chalumeau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1.9182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0.8495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0.544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cb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1.4777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0.8277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0.539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1070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1.5163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0.8965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0.539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1438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1.7527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0.9190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0.537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1.3659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0.7645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0.532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1.8176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0.9249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0.530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1.5916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0.8779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0.522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1.8129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0.8889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altos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1.1824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0.9530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0.512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2.0747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0.9517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0.503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1.8073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0.9401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/>
                <w:sz w:val="14"/>
              </w:rPr>
              <w:t>0.502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haut_médium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1.7645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0.9054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0.497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Marimba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2.0334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1.0000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0.463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pédale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1102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1.3020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0.8337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0.456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1.5545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0.7949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0.449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1382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1.7681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0.9320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0.429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1067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1.2185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0.8217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0.410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1.3818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0.8691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0.396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1.3384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0.393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1.8308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0.385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1.7605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0.8839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0.382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2055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1.3480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0.334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pédale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976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1.1559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0.8767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0.332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1.5911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0.332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1.6366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0.325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1.6840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0.8939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0.320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1.3755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0.298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1114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1.5963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0.8247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0.281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altos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1501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1.1483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0.8709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0.276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1976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1.2552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0.262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1638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1.3384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0.8587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0.257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Saxophone 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1.5020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0.8210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0.256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2379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1.5246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0.251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Mib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chalumeau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1691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1.4754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0.6253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1.3556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0.212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1.6534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0.8592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0.202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1.5240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0.8447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0.199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1388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1.0688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0.7245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0.194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Sib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gorge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1461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1.8213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0.7126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1.0716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0.7124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0.181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1.2943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0.8755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0.150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1.2296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0.141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0.8648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0.130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1.4008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0.7872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0.126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1.2451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0.8973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0.120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1783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1.2841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0.8073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0.063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1.4946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0.7234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0.049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3487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1.3046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0.9358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0.031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1.5198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0.7290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0.008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1.4605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0.8055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-0.009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1.4146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0.7773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-0.021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1.4813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-0.042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1.1207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0.8227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-0.043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1.2102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0.8512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-0.045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0.7963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-0.081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anglais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1563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1.2121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0.4542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-0.088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3373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1.2130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0.7658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-0.089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Sib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1502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1.3880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0.8196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-0.112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1.0087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0.8621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-0.119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alt.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1.0669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0.9062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-0.121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1.1465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0.8679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-0.167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1.2803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0.7405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-0.171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Mib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1.1108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0.7551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-0.212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1788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1.2793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0.6862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-0.240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1.0369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0.6735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-0.245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1.0533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0.7456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-0.273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Vibraphone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1.1681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0.6668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1.3195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0.7168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-0.295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Trompette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1.0893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0.5346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-0.326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anglais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1490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1.1546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0.4454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-0.356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altos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2495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0.6428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-0.369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1.1739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0.7103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-0.386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4247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1.1159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0.8135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-0.421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2799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1.3057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0.6446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-0.435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anglais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1.0502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0.7045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-0.448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0.9500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0.6339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-0.453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Saxophone 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2047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1.1520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0.6761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-0.500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Hautbois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1646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1.0406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0.2721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-0.506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Trompette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2467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1.1004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0.4591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-0.518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2551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1.0992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0.5683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-0.522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4100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1.1440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0.5538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-0.549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Marimba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1266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1.0544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0.4956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-0.585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0.8899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0.7048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-0.614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0.9885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0.6448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-0.655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1.1284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0.5208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-0.704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1.0854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0.4192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-0.706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Trompette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1.0499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0.4402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-0.745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Hautbois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1909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1.1177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0.2404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-0.842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5443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0.9565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0.6505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-0.851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3276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0.8564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0.4263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-0.887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1.1231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0.4718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-0.895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4417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0.4995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-0.935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altos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0.8987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0.3390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-0.948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3804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0.9186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0.3800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-0.969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2626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0.7395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0.2477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-0.992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5322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0.3968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-1.025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Hautbois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1.0730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0.3027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-1.033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alt.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4590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0.7875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0.3522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-1.050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2594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0.7507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0.2062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-1.103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Piccolo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0.9270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0.2776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-1.106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Trompette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2690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0.3589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-1.131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wah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1.0793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0.3938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-1.134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3005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1.2653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0.1556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-1.199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3661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0.1585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-1.243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2969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0.0440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-1.285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2685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0.7431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0.1807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-1.291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5549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0.7096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0.3578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-1.329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grave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2634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0.0264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-1.366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5275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0.7465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0.2903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-1.431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Sib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0.9460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0.0677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-1.501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2978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0.8432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0.0091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-1.521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6081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0.8744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0.2160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-1.544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5034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0.8448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0.0040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-1.568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0.7717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0.0013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-1.583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Piccolo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médium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0.8816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0.0001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-1.584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5530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0.6925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0.0074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-1.631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5594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0.9583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0.0000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-1.647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0.7384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0.1356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-1.658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5864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0.7594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0.0084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-1.699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Mib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3035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0.7500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0.0001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-1.707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7988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0.6786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0.1238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-1.718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Hautbois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0.7996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0.0000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-1.737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3464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0.8060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0.0041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-1.787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Piccolo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4057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0.7021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0.0001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-1.877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6024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0.6148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0.0506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-1.963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8712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0.6046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0.0054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-2.016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cup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4615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0.7406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0.0012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-2.075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Trp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suraigu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6541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0.5986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0.0120</w:t>
            </w:r>
          </w:p>
        </w:tc>
        <w:tc>
          <w:tcPr>
            <w:tcW w:type="dxa" w:w="1384"/>
            <w:shd w:fill="FFCDD2"/>
          </w:tcPr>
          <w:p>
            <w:pPr>
              <w:jc w:val="center"/>
            </w:pPr>
            <w:r/>
            <w:r>
              <w:rPr>
                <w:b/>
                <w:sz w:val="14"/>
              </w:rPr>
              <w:t>-2.240</w:t>
            </w:r>
          </w:p>
        </w:tc>
      </w:tr>
    </w:tbl>
    <w:p>
      <w:pPr>
        <w:pStyle w:val="Heading2"/>
      </w:pPr>
      <w:r>
        <w:rPr>
          <w:color w:val="2E7D32"/>
        </w:rPr>
        <w:t>Effet des sourdines sur le volume spectral</w:t>
      </w:r>
    </w:p>
    <w:p>
      <w:r>
        <w:rPr>
          <w:b w:val="0"/>
          <w:i w:val="0"/>
          <w:sz w:val="20"/>
        </w:rPr>
        <w:t>Les sourdines ne font pas qu'atténuer — elles restructurent le profil spectral, créant des déplacements considérables de l'Indice de Volume.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E64A19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Combinaison</w:t>
            </w:r>
          </w:p>
        </w:tc>
        <w:tc>
          <w:tcPr>
            <w:tcW w:type="dxa" w:w="3230"/>
            <w:shd w:fill="E64A19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Δ𝒱</w:t>
            </w:r>
          </w:p>
        </w:tc>
        <w:tc>
          <w:tcPr>
            <w:tcW w:type="dxa" w:w="3230"/>
            <w:shd w:fill="E64A19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Effet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Trompette + cup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−0,72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Amincit fortement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Trompette + harmon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−0,69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Amincit fortement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Trompette + straight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−0,35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Amincissement modéré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Trombone + harmon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+0,63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Augmente le volume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Cor + sourdine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−0,08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Négligeable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Cordes + sourdine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≈ 0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Léger assombrissement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Cordes + piombo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−0,3 à −0,8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Amincissement prononcé</w:t>
            </w:r>
          </w:p>
        </w:tc>
      </w:tr>
    </w:tbl>
    <w:p>
      <w:r>
        <w:rPr>
          <w:b w:val="0"/>
          <w:i/>
          <w:sz w:val="18"/>
        </w:rPr>
        <w:t>Découverte : la sourdine harmon du trombone augmente le volume spectral de +0,63 en supprimant les harmoniques supérieurs tout en renforçant l'énergie basse fréquence. Cela contraste fortement avec la harmon de trompette, qui produit l'effet inverse.</w:t>
      </w:r>
    </w:p>
    <w:p>
      <w:pPr>
        <w:pStyle w:val="Heading2"/>
      </w:pPr>
      <w:r>
        <w:rPr>
          <w:color w:val="2E7D32"/>
        </w:rPr>
        <w:t>Matrice d'homogénéité (51 × 51)</w:t>
      </w:r>
    </w:p>
    <w:p>
      <w:r>
        <w:rPr>
          <w:b w:val="0"/>
          <w:i w:val="0"/>
          <w:sz w:val="20"/>
        </w:rPr>
        <w:t>L'homogénéité H(A,B) entre deux instruments combine la proximité de volume (50 %) et la similarité du profil MFCC par distance cosinus (50 %). H ≥ 0,85 → plan fondu probable ; H &lt; 0,70 → timbres hétérogènes.</w:t>
      </w:r>
    </w:p>
    <w:p>
      <w:pPr>
        <w:pStyle w:val="Heading3"/>
      </w:pPr>
      <w:r>
        <w:rPr>
          <w:color w:val="1B5E20"/>
        </w:rPr>
        <w:t>Paires inter-familles les plus homogènes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2E7D32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Paire</w:t>
            </w:r>
          </w:p>
        </w:tc>
        <w:tc>
          <w:tcPr>
            <w:tcW w:type="dxa" w:w="3230"/>
            <w:shd w:fill="2E7D32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H</w:t>
            </w:r>
          </w:p>
        </w:tc>
        <w:tc>
          <w:tcPr>
            <w:tcW w:type="dxa" w:w="3230"/>
            <w:shd w:fill="2E7D32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Commentaire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+ Trombone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0,99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Mélange archétypal Brahms/Wagner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Clarinette basse + Cor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0,99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Pont spectral bois–cuivres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Clarinette basse + Trombone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0,99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Tradition française (Debussy, Ravel)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Cor + Marimba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0,96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F₁ quasi identiques — musique contemporaine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Trompette + Violon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0,98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Doublure classique de la ligne mélodique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Tuba basse + Guitare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0,94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La guitare : « tuba pincé »</w:t>
            </w:r>
          </w:p>
        </w:tc>
      </w:tr>
      <w:tr>
        <w:tc>
          <w:tcPr>
            <w:tcW w:type="dxa" w:w="3230"/>
          </w:tcPr>
          <w:p>
            <w:pPr>
              <w:jc w:val="center"/>
            </w:pPr>
            <w:r/>
            <w:r>
              <w:rPr>
                <w:b/>
                <w:sz w:val="16"/>
              </w:rPr>
              <w:t>Flûte basse + Alto sourd.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0,97</w:t>
            </w:r>
          </w:p>
        </w:tc>
        <w:tc>
          <w:tcPr>
            <w:tcW w:type="dxa" w:w="3230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Doublure d'orchestre contemporain</w:t>
            </w:r>
          </w:p>
        </w:tc>
      </w:tr>
    </w:tbl>
    <w:p>
      <w:r>
        <w:rPr>
          <w:b w:val="0"/>
          <w:i/>
          <w:sz w:val="18"/>
        </w:rPr>
        <w:t>Le hautbois présente une homogénéité systématiquement basse avec les cuivres et les cordes graves (H &lt; 0,70), confirmant la description de Koechlin d'un timbre « mince et solide » — une « étoile naine de densité considérable ». Son profil spectral distinct explique son efficacité comme voix soliste.</w:t>
      </w:r>
    </w:p>
    <w:p>
      <w:pPr>
        <w:pStyle w:val="Heading2"/>
      </w:pPr>
      <w:r>
        <w:rPr>
          <w:color w:val="2E7D32"/>
        </w:rPr>
        <w:t>Plans orchestraux — Prédiction de fusion timbrale</w:t>
      </w:r>
    </w:p>
    <w:p>
      <w:r>
        <w:rPr>
          <w:b w:val="0"/>
          <w:i w:val="0"/>
          <w:sz w:val="20"/>
        </w:rPr>
        <w:t>1275 paires analysées (51 instruments × registre médium) :</w:t>
      </w:r>
    </w:p>
    <w:p>
      <w:r>
        <w:rPr>
          <w:b w:val="0"/>
          <w:i w:val="0"/>
          <w:sz w:val="18"/>
        </w:rPr>
        <w:t xml:space="preserve">  • 11 paires CONVERGENT</w:t>
      </w:r>
    </w:p>
    <w:p>
      <w:r>
        <w:rPr>
          <w:b w:val="0"/>
          <w:i w:val="0"/>
          <w:sz w:val="18"/>
        </w:rPr>
        <w:t xml:space="preserve">  • 146 paires FONDU</w:t>
      </w:r>
    </w:p>
    <w:p>
      <w:r>
        <w:rPr>
          <w:b w:val="0"/>
          <w:i w:val="0"/>
          <w:sz w:val="18"/>
        </w:rPr>
        <w:t xml:space="preserve">  • 145 paires FONDU_Fp</w:t>
      </w:r>
    </w:p>
    <w:p>
      <w:r>
        <w:rPr>
          <w:b w:val="0"/>
          <w:i w:val="0"/>
          <w:sz w:val="18"/>
        </w:rPr>
        <w:t xml:space="preserve">  • 427 paires HÉTÉROGÈNE</w:t>
      </w:r>
    </w:p>
    <w:p>
      <w:r>
        <w:rPr>
          <w:b w:val="0"/>
          <w:i w:val="0"/>
          <w:sz w:val="18"/>
        </w:rPr>
        <w:t xml:space="preserve">  • 94 paires SEMI-FONDU</w:t>
      </w:r>
    </w:p>
    <w:p>
      <w:r>
        <w:rPr>
          <w:b w:val="0"/>
          <w:i w:val="0"/>
          <w:sz w:val="18"/>
        </w:rPr>
        <w:t xml:space="preserve">  • 452 paires SEMI-FONDU_H</w:t>
      </w:r>
    </w:p>
    <w:p>
      <w:pPr>
        <w:pStyle w:val="Heading3"/>
      </w:pPr>
      <w:r>
        <w:rPr>
          <w:color w:val="1B5E20"/>
        </w:rPr>
        <w:t>Top 30 fusions prédites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Instrument A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Instrument B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H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ΔF₁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ΔFp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1384"/>
            <w:shd w:fill="1565C0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4"/>
              </w:rPr>
              <w:t>Cat.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0.995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0.980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0.980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Mib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violoncelles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Marimba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0.970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contrebasses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contrebasses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0.939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harmon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piombo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Vibraphone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0.923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0.968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Violoncelle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0.966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altos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0.962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24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0.964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Trombone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Tbn straight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Cor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Vibraphone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0.960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Alto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0.931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0.959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Contrebasson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33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F/Fp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0.977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0.957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Harpe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0.985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0.956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Violon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Ens. violons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0.979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50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0.955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Tuba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Guitare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0.940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38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0.953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Clarinette Sib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0.995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45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0.952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F/Fp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Cb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Vc sourd.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0.956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32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F/Fp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Flûte contrebasse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Vibraphone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0.911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21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2</w:t>
            </w:r>
          </w:p>
        </w:tc>
        <w:tc>
          <w:tcPr>
            <w:tcW w:type="dxa" w:w="1384"/>
          </w:tcPr>
          <w:p>
            <w:pPr>
              <w:jc w:val="center"/>
            </w:pPr>
            <w:r/>
            <w:r>
              <w:rPr>
                <w:b/>
                <w:sz w:val="14"/>
              </w:rPr>
              <w:t>0.950</w:t>
            </w:r>
          </w:p>
        </w:tc>
        <w:tc>
          <w:tcPr>
            <w:tcW w:type="dxa" w:w="1384"/>
            <w:shd w:fill="C8E6C9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  <w:t>F</w:t>
            </w:r>
          </w:p>
        </w:tc>
      </w:tr>
    </w:tbl>
    <w:p>
      <w:r>
        <w:rPr>
          <w:b w:val="0"/>
          <w:i/>
          <w:color w:val="808080"/>
          <w:sz w:val="16"/>
        </w:rPr>
        <w:t>(Tableau complet : version HTML en ligne.)</w:t>
      </w:r>
    </w:p>
    <w:p>
      <w:pPr>
        <w:pStyle w:val="Heading2"/>
      </w:pPr>
      <w:r>
        <w:rPr>
          <w:color w:val="2E7D32"/>
        </w:rPr>
        <w:t>Convergences par zone vocalique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fill="4A148C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938"/>
            <w:shd w:fill="4A148C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Bande F₁</w:t>
            </w:r>
          </w:p>
        </w:tc>
        <w:tc>
          <w:tcPr>
            <w:tcW w:type="dxa" w:w="1938"/>
            <w:shd w:fill="4A148C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N paires</w:t>
            </w:r>
          </w:p>
        </w:tc>
        <w:tc>
          <w:tcPr>
            <w:tcW w:type="dxa" w:w="1938"/>
            <w:shd w:fill="4A148C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%</w:t>
            </w:r>
          </w:p>
        </w:tc>
        <w:tc>
          <w:tcPr>
            <w:tcW w:type="dxa" w:w="1938"/>
            <w:shd w:fill="4A148C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16"/>
              </w:rPr>
              <w:t>Caractère orchestral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b/>
                <w:sz w:val="16"/>
              </w:rPr>
              <w:t>/u/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≤ 250 Hz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46.4 %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Fondation — plénitude matérielle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b/>
                <w:sz w:val="16"/>
              </w:rPr>
              <w:t>/o/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251–400 Hz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36.1 %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Cluster de convergence central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b/>
                <w:sz w:val="16"/>
              </w:rPr>
              <w:t>/å/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401–520 Hz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8.8 %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Chaleur de transition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b/>
                <w:sz w:val="16"/>
              </w:rPr>
              <w:t>/a/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521–800 Hz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3.5 %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Présence, projection</w:t>
            </w:r>
          </w:p>
        </w:tc>
      </w:tr>
      <w:tr>
        <w:tc>
          <w:tcPr>
            <w:tcW w:type="dxa" w:w="1938"/>
          </w:tcPr>
          <w:p>
            <w:pPr>
              <w:jc w:val="center"/>
            </w:pPr>
            <w:r/>
            <w:r>
              <w:rPr>
                <w:b/>
                <w:sz w:val="16"/>
              </w:rPr>
              <w:t>/e/–/i/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&gt; 800 Hz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5.3 %</w:t>
            </w:r>
          </w:p>
        </w:tc>
        <w:tc>
          <w:tcPr>
            <w:tcW w:type="dxa" w:w="1938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Brillance — cuivres avec sourdine</w:t>
            </w:r>
          </w:p>
        </w:tc>
      </w:tr>
    </w:tbl>
    <w:p>
      <w:r>
        <w:rPr>
          <w:b w:val="0"/>
          <w:i w:val="0"/>
          <w:sz w:val="20"/>
        </w:rPr>
        <w:t>82 % des convergences se situent dans les zones /u/ et /o/ (F₁ ≤ 400 Hz), confirmant que le fondement du fondu orchestral réside dans la région formantique basse fréquence — le sous-médium de Koechlin, lieu de la plénitude matérielle.</w:t>
      </w:r>
    </w:p>
    <w:p>
      <w:pPr>
        <w:pStyle w:val="Heading2"/>
      </w:pPr>
      <w:r>
        <w:rPr>
          <w:color w:val="2E7D32"/>
        </w:rPr>
        <w:t>Découvertes au-delà du classicisme</w:t>
      </w:r>
    </w:p>
    <w:p>
      <w:r>
        <w:rPr>
          <w:b w:val="0"/>
          <w:i w:val="0"/>
          <w:sz w:val="20"/>
        </w:rPr>
        <w:t>Le cadre de Koechlin, développé pour les instruments ouverts de son époque, acquiert une puissance inattendue lorsqu'on l'étend aux sourdines et aux instruments non-classiques :</w:t>
      </w:r>
    </w:p>
    <w:p>
      <w:r>
        <w:rPr>
          <w:b w:val="0"/>
          <w:i w:val="0"/>
          <w:sz w:val="18"/>
        </w:rPr>
        <w:t>• Trombone harmon + Violoncelle piombo (ΔFp = 12 Hz) : la sourdine harmon déplace le spectre du trombone dans une zone qui converge avec le violoncelle sourdine de plomb.</w:t>
      </w:r>
    </w:p>
    <w:p>
      <w:r>
        <w:rPr>
          <w:b w:val="0"/>
          <w:i w:val="0"/>
          <w:sz w:val="18"/>
        </w:rPr>
        <w:t>• Tuba basse + Guitare (ΔFp = 1 Hz) : la guitare fonctionne comme un « tuba pincé » en termes spectraux.</w:t>
      </w:r>
    </w:p>
    <w:p>
      <w:r>
        <w:rPr>
          <w:b w:val="0"/>
          <w:i w:val="0"/>
          <w:sz w:val="18"/>
        </w:rPr>
        <w:t>• Cor + Marimba (ΔF₁ = 0, H = 0,96) : F₁ identiques au registre médium — paire de musique contemporaine.</w:t>
      </w:r>
    </w:p>
    <w:p>
      <w:r>
        <w:rPr>
          <w:b w:val="0"/>
          <w:i w:val="0"/>
          <w:sz w:val="18"/>
        </w:rPr>
        <w:t>• Clarinette Mib + Flûte (ΔF₁ = 0, ΔFp = 5 Hz) : convergence quasi-parfaite entre deux familles.</w:t>
      </w:r>
    </w:p>
    <w:p>
      <w:r>
        <w:rPr>
          <w:b w:val="0"/>
          <w:i w:val="0"/>
          <w:sz w:val="18"/>
        </w:rPr>
        <w:t>• Flûte contrebasse + Alto sourdine (ΔFp = 23 Hz) : doublure d'orchestre contemporain.</w:t>
      </w:r>
    </w:p>
    <w:p>
      <w:r>
        <w:rPr>
          <w:b w:val="0"/>
          <w:i w:val="0"/>
          <w:sz w:val="18"/>
        </w:rPr>
        <w:t>• Zone /e/–/i/ (&gt; 800 Hz) : cluster entièrement composé de sourdines cup, harmon et piccolo — sans équivalent dans la théorie classique de l'orchestration.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