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Zone de convergence /o/–/å/ (377–506 Hz) : </w:t>
      </w:r>
      <w:r>
        <w:t>Cor (388), Cor anglais (452), Cl. Sib (463), Basson (495), Violon (506) — fondement acoustique des doublures classiques de la section cuivres avec les bois et cordes.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rond et chaleureux, emblématique de la noblesse orchestrale. F1=388 Hz (zone /o/–/å/). Accord unanime des 4 sources (Backus 400–500, Giesler 250–500, Meyer ~450, SOL 388 Hz). Le Fp centroïde à 738 Hz est 6.5× plus stable que F2 (σ=734 Hz). Grande homogénéité spectrale inter-dynamiques. Convergences clés : cor + alto Δ=11 Hz (388 vs 377 Hz), cor + cor anglais Δ=64 Hz (388 vs 452 Hz). Le cor est l'instrument cuivre le plus versatile en termes de doublures orchestrales.</w:t>
      </w:r>
    </w:p>
    <w:p>
      <w:r>
        <w:rPr>
          <w:b/>
          <w:i w:val="0"/>
          <w:color w:val="1B5E20"/>
          <w:sz w:val="20"/>
        </w:rPr>
        <w:t>Fp (centroïde) = 738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±97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 ±734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2 048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o/å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3 962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σ=72 [452–484]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σ=130 [732–764]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σ=894 [1066–1863]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σ=894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 [409–463]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σ=285 [700–1001]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σ=300 [1023–1346]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σ=369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open_to_stopped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σ=117 [248–452]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σ=252 [560–926]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σ=297 [969–1324]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σ=543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σ=608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4 823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σ=84 [441–484]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σ=616 [721–829]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σ=909 [1055–2649]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 [398–463]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σ=225 [700–915]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σ=205 [980–1206]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σ=283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2 530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stopped_to_open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Δ=107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F1 strict = 786 Hz (zone /å/). Les sources divergent fortement (Backus 1 000–1 500, SOL 786–1 324) car chaque source capture un registre différent. Fp=1 046 Hz est la mesure la plus représentative.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(σ élevé)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σ=1151 [1098–3521]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σ=918 [1841–3919]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σ=825 [2649–4382]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σ=782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σ=270 [538–797]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σ=364 [948–1184]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σ=493 [1324–1766]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σ=785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σ=886 [495–1238]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σ=1018 [937–2100]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σ=1104 [1281–2788]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σ=1345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σ=1477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σ=628 [1055–2207]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σ=530 [2089–2918]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σ=453 [3122–3854]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σ=133 [700–894]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σ=308 [1077–1497]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σ=491 [1378–2121]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σ=1120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b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plein et puissant, grande projection, très grande homogénéité spectrale. F1=237 Hz (zone /u/). Accord excellent entre toutes les sources pour le Fp (Backus 500, Giesler 520–600, Meyer 480–600 correspondent au Fp=1 218 Hz, pas au F1 strict). Le F1 spectral strict à 237 Hz place le trombone en /u/ — sa fusion avec les instruments de la zone /o/ opère via le Fp centroïde à 1 218 Hz.</w:t>
      </w:r>
    </w:p>
    <w:p>
      <w:r>
        <w:rPr>
          <w:b/>
          <w:i w:val="0"/>
          <w:color w:val="1B5E20"/>
          <w:sz w:val="20"/>
        </w:rPr>
        <w:t>Fp (centroïde) = 1218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 ±137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1 218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 [474–506]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σ=111 [786–818]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σ=144 [1249–1281]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flatterzunge_no_mouthpiece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σ=84 [205–291]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σ=120 [495–581]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σ=197 [743–990]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σ=416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σ=123 [215–431]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 [484–764]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σ=252 [743–1109]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ordinario_no_mouthpiece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σ=57 [581–668]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σ=74 [872–980]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σ=99 [1174–1314]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σ=334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σ=94 [484–517]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σ=109 [764–840]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σ=154 [1077–1303]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σ=268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σ=478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σ=64 [205–269]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σ=83 [484–549]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σ=118 [754–872]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σ=160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F1=258 Hz (zone /u/) — proche du trombone ténor (237 Hz, Δ=21 Hz). La section trombone est acoustiquement homogène en F1. Fp=1 335 Hz (zone /a/).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σ=131 [226–474]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σ=156 [484–775]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 [775–1012]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σ=440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F1=226 Hz (zone /u/) — unisson formantique parfait avec le tuba contrebasse et le contrebasson (tous à 226 Hz). Accord entre sources approximatif car chaque source mesure un registre différent (Backus 200–400, Meyer 210–250). Fp=1 239 Hz capture la zone d'énergie principale du pavillon.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 [215–226]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σ=66 [452–484]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σ=97 [969–1023]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 [205–237]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σ=96 [431–495]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σ=143 [937–1001]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σ=432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 [398–452]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 [754–872]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 [1141–1367]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 [205–248]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σ=73 [420–463]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σ=57 [948–1012]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σ=34 [215–237]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σ=59 [441–484]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σ=64 [937–1023]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F1=226 Hz (zone /u/) — identique au tuba basse et au contrebasson. Cet unisson formantique parfait entre trois familles différentes (cuivres × 2 + bois) constitue la fondation /u/ de l'orchestre.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σ=54 [215–237]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σ=169 [441–711]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σ=221 [721–990]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σ=235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2"/>
      </w:pPr>
      <w:r>
        <w:rPr>
          <w:color w:val="B71C1C"/>
        </w:rPr>
        <w:t>Cor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_s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de 388 à 344 Hz (−11 %), la sourdine déplace légèrement le spectre vers le grave. Son voilé et lointain.</w:t>
      </w:r>
    </w:p>
    <w:p>
      <w:r>
        <w:rPr>
          <w:b/>
          <w:i w:val="0"/>
          <w:color w:val="1B5E20"/>
          <w:sz w:val="20"/>
        </w:rPr>
        <w:t>Fp (centroïde) = 804 Hz</w:t>
      </w:r>
    </w:p>
    <w:p/>
    <w:p>
      <w:pPr>
        <w:pStyle w:val="Heading3"/>
      </w:pPr>
      <w:r>
        <w:t>Trompette avec sourdines</w:t>
      </w:r>
    </w:p>
    <w:p>
      <w:pPr>
        <w:pStyle w:val="Heading2"/>
      </w:pPr>
      <w:r>
        <w:rPr>
          <w:color w:val="B71C1C"/>
        </w:rPr>
        <w:t>Trompette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à 1 443 Hz (+84 %). Son doux et arrondi, perd la brillance caractéristique.</w:t>
      </w:r>
    </w:p>
    <w:p>
      <w:r>
        <w:rPr>
          <w:b/>
          <w:i w:val="0"/>
          <w:color w:val="1B5E20"/>
          <w:sz w:val="20"/>
        </w:rPr>
        <w:t>Fp (centroïde) = 1260 Hz</w:t>
      </w:r>
    </w:p>
    <w:p/>
    <w:p>
      <w:pPr>
        <w:pStyle w:val="Heading2"/>
      </w:pPr>
      <w:r>
        <w:rPr>
          <w:color w:val="B71C1C"/>
        </w:rPr>
        <w:t>Trompette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stra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F1=1 098 Hz (+40 %). Son piquant et nasal, le plus utilisé en orchestre.</w:t>
      </w:r>
    </w:p>
    <w:p>
      <w:r>
        <w:rPr>
          <w:b/>
          <w:i w:val="0"/>
          <w:color w:val="1B5E20"/>
          <w:sz w:val="20"/>
        </w:rPr>
        <w:t>Fp (centroïde) = 1084 Hz</w:t>
      </w:r>
    </w:p>
    <w:p/>
    <w:p>
      <w:pPr>
        <w:pStyle w:val="Heading2"/>
      </w:pPr>
      <w:r>
        <w:rPr>
          <w:color w:val="B71C1C"/>
        </w:rPr>
        <w:t>Trompette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harm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F1=2 358 Hz (+200 %) — tout le spectre propulsé dans la zone /i/. Son miles-davisien.</w:t>
      </w:r>
    </w:p>
    <w:p>
      <w:r>
        <w:rPr>
          <w:b/>
          <w:i w:val="0"/>
          <w:color w:val="1B5E20"/>
          <w:sz w:val="20"/>
        </w:rPr>
        <w:t>Fp (centroïde) = 1443 Hz</w:t>
      </w:r>
    </w:p>
    <w:p/>
    <w:p>
      <w:pPr>
        <w:pStyle w:val="Heading2"/>
      </w:pPr>
      <w:r>
        <w:rPr>
          <w:color w:val="B71C1C"/>
        </w:rPr>
        <w:t>Trompette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op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560 Hz (−29 %). Son nasal et brillant.</w:t>
      </w:r>
    </w:p>
    <w:p>
      <w:r>
        <w:rPr>
          <w:b/>
          <w:i w:val="0"/>
          <w:color w:val="1B5E20"/>
          <w:sz w:val="20"/>
        </w:rPr>
        <w:t>Fp (centroïde) = 916 Hz</w:t>
      </w:r>
    </w:p>
    <w:p/>
    <w:p>
      <w:pPr>
        <w:pStyle w:val="Heading2"/>
      </w:pPr>
      <w:r>
        <w:rPr>
          <w:color w:val="B71C1C"/>
        </w:rPr>
        <w:t>Trompette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clo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F1=581 Hz (−26 %). Son étouffé, spectre fortement filtré.</w:t>
      </w:r>
    </w:p>
    <w:p>
      <w:r>
        <w:rPr>
          <w:b/>
          <w:i w:val="0"/>
          <w:color w:val="1B5E20"/>
          <w:sz w:val="20"/>
        </w:rPr>
        <w:t>Fp (centroïde) = 935 Hz</w:t>
      </w:r>
    </w:p>
    <w:p/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c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de 237 à 366 Hz (+54 %). La sourdine cup filtre les graves et propulse l'énergie vers le medium. Son voilé et sombre.</w:t>
      </w:r>
    </w:p>
    <w:p>
      <w:r>
        <w:rPr>
          <w:b/>
          <w:i w:val="0"/>
          <w:color w:val="1B5E20"/>
          <w:sz w:val="20"/>
        </w:rPr>
        <w:t>Fp (centroïde) = 1121 Hz</w:t>
      </w:r>
    </w:p>
    <w:p/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proche à 226 Hz (−5 %). Son nasal et métallique. La sourdine straight comprime le spectre.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162 Hz (−32 %). Son très concentré, quasi sinusoïdal.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F1=226 Hz — proche de l'ordinario. Son brillant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remonte à 398 Hz (+68 %). Son étouffé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à 226 Hz (Δ=0 Hz). Projection réduite, son assourdi.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