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37E"/>
        </w:rPr>
        <w:t>Référence Formantique de l'Orchestre</w:t>
      </w:r>
    </w:p>
    <w:p>
      <w:r>
        <w:rPr>
          <w:b w:val="0"/>
          <w:i/>
          <w:sz w:val="24"/>
        </w:rPr>
        <w:t>Étude quantitative des formants spectraux instrumentaux</w:t>
      </w:r>
    </w:p>
    <w:p>
      <w:r>
        <w:rPr>
          <w:b w:val="0"/>
          <w:i w:val="0"/>
          <w:color w:val="646464"/>
          <w:sz w:val="20"/>
        </w:rPr>
        <w:t>5 914 échantillons · 30 instruments · Mars 2026 · Pipeline v22 validé</w:t>
      </w:r>
    </w:p>
    <w:p/>
    <w:p>
      <w:pPr>
        <w:pStyle w:val="Heading1"/>
      </w:pPr>
      <w:r>
        <w:rPr>
          <w:color w:val="1A237E"/>
        </w:rPr>
        <w:t>I. Introduction et Méthodologie</w:t>
      </w:r>
    </w:p>
    <w:p>
      <w:r>
        <w:rPr>
          <w:b w:val="0"/>
          <w:i w:val="0"/>
          <w:sz w:val="20"/>
        </w:rPr>
        <w:t>Ce document constitue la référence quantitative la plus complète disponible</w:t>
        <w:br/>
        <w:t>pour l'analyse formantique des instruments de l'orchestre. Il examine comment</w:t>
        <w:br/>
        <w:t>les doublures orchestrales classiques s'expliquent par l'assemblage complémentaire</w:t>
        <w:br/>
        <w:t>des formants spectraux instrumentaux. Les formants sont les zones de résonance</w:t>
        <w:br/>
        <w:t>définissant le timbre : lorsque deux instruments sont doublés, leurs spectres se</w:t>
        <w:br/>
        <w:t>combinent pour créer une couleur timbrale homogène ou complémentaire.</w:t>
      </w:r>
    </w:p>
    <w:p>
      <w:r>
        <w:rPr>
          <w:b w:val="0"/>
          <w:i w:val="0"/>
          <w:sz w:val="20"/>
        </w:rPr>
        <w:t>L'analyse repose sur 5 914 échantillons professionnels couvrant 30 instruments</w:t>
        <w:br/>
        <w:t>de l'orchestre, validée contre quatre sources académiques indépendantes.</w:t>
        <w:br/>
        <w:t>Le taux de concordance global est de 93 % (27/29 instruments comparables).</w:t>
      </w:r>
    </w:p>
    <w:p>
      <w:pPr>
        <w:pStyle w:val="Heading2"/>
      </w:pPr>
      <w:r>
        <w:rPr>
          <w:color w:val="2E7D32"/>
        </w:rPr>
        <w:t>Sources des données</w:t>
      </w:r>
    </w:p>
    <w:tbl>
      <w:tblPr>
        <w:tblStyle w:val="TableGrid"/>
        <w:tblW w:type="auto" w:w="0"/>
        <w:tblLook w:firstColumn="1" w:firstRow="1" w:lastColumn="0" w:lastRow="0" w:noHBand="0" w:noVBand="1" w:val="04A0"/>
      </w:tblPr>
      <w:tblGrid>
        <w:gridCol w:w="2422"/>
        <w:gridCol w:w="2422"/>
        <w:gridCol w:w="2422"/>
        <w:gridCol w:w="2422"/>
      </w:tblGrid>
      <w:tr>
        <w:tc>
          <w:tcPr>
            <w:tcW w:type="dxa" w:w="1701"/>
            <w:shd w:fill="37474F"/>
          </w:tcPr>
          <w:p>
            <w:pPr>
              <w:jc w:val="center"/>
            </w:pPr>
            <w:r/>
            <w:r>
              <w:rPr>
                <w:b/>
                <w:color w:val="FFFFFF"/>
                <w:sz w:val="18"/>
              </w:rPr>
              <w:t>Source</w:t>
            </w:r>
          </w:p>
        </w:tc>
        <w:tc>
          <w:tcPr>
            <w:tcW w:type="dxa" w:w="2551"/>
            <w:shd w:fill="37474F"/>
          </w:tcPr>
          <w:p>
            <w:pPr>
              <w:jc w:val="center"/>
            </w:pPr>
            <w:r/>
            <w:r>
              <w:rPr>
                <w:b/>
                <w:color w:val="FFFFFF"/>
                <w:sz w:val="18"/>
              </w:rPr>
              <w:t>Titre / Base</w:t>
            </w:r>
          </w:p>
        </w:tc>
        <w:tc>
          <w:tcPr>
            <w:tcW w:type="dxa" w:w="3118"/>
            <w:shd w:fill="37474F"/>
          </w:tcPr>
          <w:p>
            <w:pPr>
              <w:jc w:val="center"/>
            </w:pPr>
            <w:r/>
            <w:r>
              <w:rPr>
                <w:b/>
                <w:color w:val="FFFFFF"/>
                <w:sz w:val="18"/>
              </w:rPr>
              <w:t>Description</w:t>
            </w:r>
          </w:p>
        </w:tc>
        <w:tc>
          <w:tcPr>
            <w:tcW w:type="dxa" w:w="1984"/>
            <w:shd w:fill="37474F"/>
          </w:tcPr>
          <w:p>
            <w:pPr>
              <w:jc w:val="center"/>
            </w:pPr>
            <w:r/>
            <w:r>
              <w:rPr>
                <w:b/>
                <w:color w:val="FFFFFF"/>
                <w:sz w:val="18"/>
              </w:rPr>
              <w:t>Éditeur</w:t>
            </w:r>
          </w:p>
        </w:tc>
      </w:tr>
      <w:tr>
        <w:tc>
          <w:tcPr>
            <w:tcW w:type="dxa" w:w="1701"/>
          </w:tcPr>
          <w:p>
            <w:pPr>
              <w:jc w:val="center"/>
            </w:pPr>
            <w:r/>
            <w:r>
              <w:rPr>
                <w:b/>
                <w:sz w:val="18"/>
              </w:rPr>
              <w:t>Backus (1969)</w:t>
            </w:r>
          </w:p>
        </w:tc>
        <w:tc>
          <w:tcPr>
            <w:tcW w:type="dxa" w:w="2551"/>
          </w:tcPr>
          <w:p>
            <w:pPr>
              <w:jc w:val="left"/>
            </w:pPr>
            <w:r/>
            <w:r>
              <w:rPr>
                <w:b w:val="0"/>
                <w:sz w:val="18"/>
              </w:rPr>
              <w:t>The Acoustical Foundations of Music</w:t>
            </w:r>
          </w:p>
        </w:tc>
        <w:tc>
          <w:tcPr>
            <w:tcW w:type="dxa" w:w="3118"/>
          </w:tcPr>
          <w:p>
            <w:pPr>
              <w:jc w:val="left"/>
            </w:pPr>
            <w:r/>
            <w:r>
              <w:rPr>
                <w:b w:val="0"/>
                <w:sz w:val="18"/>
              </w:rPr>
              <w:t>Référence historique, mesures ciblées cuivres et bois</w:t>
            </w:r>
          </w:p>
        </w:tc>
        <w:tc>
          <w:tcPr>
            <w:tcW w:type="dxa" w:w="1984"/>
          </w:tcPr>
          <w:p>
            <w:pPr>
              <w:jc w:val="left"/>
            </w:pPr>
            <w:r/>
            <w:r>
              <w:rPr>
                <w:b w:val="0"/>
                <w:sz w:val="18"/>
              </w:rPr>
              <w:t>W.W. Norton &amp; Co.</w:t>
            </w:r>
          </w:p>
        </w:tc>
      </w:tr>
      <w:tr>
        <w:tc>
          <w:tcPr>
            <w:tcW w:type="dxa" w:w="1701"/>
          </w:tcPr>
          <w:p>
            <w:pPr>
              <w:jc w:val="center"/>
            </w:pPr>
            <w:r/>
            <w:r>
              <w:rPr>
                <w:b/>
                <w:sz w:val="18"/>
              </w:rPr>
              <w:t>Giesler (1985)</w:t>
            </w:r>
          </w:p>
        </w:tc>
        <w:tc>
          <w:tcPr>
            <w:tcW w:type="dxa" w:w="2551"/>
          </w:tcPr>
          <w:p>
            <w:pPr>
              <w:jc w:val="left"/>
            </w:pPr>
            <w:r/>
            <w:r>
              <w:rPr>
                <w:b w:val="0"/>
                <w:sz w:val="18"/>
              </w:rPr>
              <w:t>Instrumentation: Ein Hand- und Lehrbuch</w:t>
            </w:r>
          </w:p>
        </w:tc>
        <w:tc>
          <w:tcPr>
            <w:tcW w:type="dxa" w:w="3118"/>
          </w:tcPr>
          <w:p>
            <w:pPr>
              <w:jc w:val="left"/>
            </w:pPr>
            <w:r/>
            <w:r>
              <w:rPr>
                <w:b w:val="0"/>
                <w:sz w:val="18"/>
              </w:rPr>
              <w:t>Mesures détaillées, associations vocaliques explicites, 13 instruments</w:t>
            </w:r>
          </w:p>
        </w:tc>
        <w:tc>
          <w:tcPr>
            <w:tcW w:type="dxa" w:w="1984"/>
          </w:tcPr>
          <w:p>
            <w:pPr>
              <w:jc w:val="left"/>
            </w:pPr>
            <w:r/>
            <w:r>
              <w:rPr>
                <w:b w:val="0"/>
                <w:sz w:val="18"/>
              </w:rPr>
              <w:t>Breitkopf &amp; Härtel</w:t>
            </w:r>
          </w:p>
        </w:tc>
      </w:tr>
      <w:tr>
        <w:tc>
          <w:tcPr>
            <w:tcW w:type="dxa" w:w="1701"/>
          </w:tcPr>
          <w:p>
            <w:pPr>
              <w:jc w:val="center"/>
            </w:pPr>
            <w:r/>
            <w:r>
              <w:rPr>
                <w:b/>
                <w:sz w:val="18"/>
              </w:rPr>
              <w:t>Meyer (2009)</w:t>
            </w:r>
          </w:p>
        </w:tc>
        <w:tc>
          <w:tcPr>
            <w:tcW w:type="dxa" w:w="2551"/>
          </w:tcPr>
          <w:p>
            <w:pPr>
              <w:jc w:val="left"/>
            </w:pPr>
            <w:r/>
            <w:r>
              <w:rPr>
                <w:b w:val="0"/>
                <w:sz w:val="18"/>
              </w:rPr>
              <w:t>Acoustics and the Performance of Music (5e éd.)</w:t>
            </w:r>
          </w:p>
        </w:tc>
        <w:tc>
          <w:tcPr>
            <w:tcW w:type="dxa" w:w="3118"/>
          </w:tcPr>
          <w:p>
            <w:pPr>
              <w:jc w:val="left"/>
            </w:pPr>
            <w:r/>
            <w:r>
              <w:rPr>
                <w:b w:val="0"/>
                <w:sz w:val="18"/>
              </w:rPr>
              <w:t>Analyse acoustique avec couleurs vocales, zones vocaliques définies</w:t>
            </w:r>
          </w:p>
        </w:tc>
        <w:tc>
          <w:tcPr>
            <w:tcW w:type="dxa" w:w="1984"/>
          </w:tcPr>
          <w:p>
            <w:pPr>
              <w:jc w:val="left"/>
            </w:pPr>
            <w:r/>
            <w:r>
              <w:rPr>
                <w:b w:val="0"/>
                <w:sz w:val="18"/>
              </w:rPr>
              <w:t>Springer-Verlag</w:t>
            </w:r>
          </w:p>
        </w:tc>
      </w:tr>
      <w:tr>
        <w:tc>
          <w:tcPr>
            <w:tcW w:type="dxa" w:w="1701"/>
          </w:tcPr>
          <w:p>
            <w:pPr>
              <w:jc w:val="center"/>
            </w:pPr>
            <w:r/>
            <w:r>
              <w:rPr>
                <w:b/>
                <w:sz w:val="18"/>
              </w:rPr>
              <w:t>SOL2020 IRCAM</w:t>
            </w:r>
          </w:p>
        </w:tc>
        <w:tc>
          <w:tcPr>
            <w:tcW w:type="dxa" w:w="2551"/>
          </w:tcPr>
          <w:p>
            <w:pPr>
              <w:jc w:val="left"/>
            </w:pPr>
            <w:r/>
            <w:r>
              <w:rPr>
                <w:b w:val="0"/>
                <w:sz w:val="18"/>
              </w:rPr>
              <w:t>Studio On Line</w:t>
            </w:r>
          </w:p>
        </w:tc>
        <w:tc>
          <w:tcPr>
            <w:tcW w:type="dxa" w:w="3118"/>
          </w:tcPr>
          <w:p>
            <w:pPr>
              <w:jc w:val="left"/>
            </w:pPr>
            <w:r/>
            <w:r>
              <w:rPr>
                <w:b w:val="0"/>
                <w:sz w:val="18"/>
              </w:rPr>
              <w:t>12 instruments solistes, 2 391 échantillons sustained analysés</w:t>
            </w:r>
          </w:p>
        </w:tc>
        <w:tc>
          <w:tcPr>
            <w:tcW w:type="dxa" w:w="1984"/>
          </w:tcPr>
          <w:p>
            <w:pPr>
              <w:jc w:val="left"/>
            </w:pPr>
            <w:r/>
            <w:r>
              <w:rPr>
                <w:b w:val="0"/>
                <w:sz w:val="18"/>
              </w:rPr>
              <w:t>IRCAM / EIC</w:t>
            </w:r>
          </w:p>
        </w:tc>
      </w:tr>
      <w:tr>
        <w:tc>
          <w:tcPr>
            <w:tcW w:type="dxa" w:w="1701"/>
          </w:tcPr>
          <w:p>
            <w:pPr>
              <w:jc w:val="center"/>
            </w:pPr>
            <w:r/>
            <w:r>
              <w:rPr>
                <w:b/>
                <w:sz w:val="18"/>
              </w:rPr>
              <w:t>Yan_Adds</w:t>
            </w:r>
          </w:p>
        </w:tc>
        <w:tc>
          <w:tcPr>
            <w:tcW w:type="dxa" w:w="2551"/>
          </w:tcPr>
          <w:p>
            <w:pPr>
              <w:jc w:val="left"/>
            </w:pPr>
            <w:r/>
            <w:r>
              <w:rPr>
                <w:b w:val="0"/>
                <w:sz w:val="18"/>
              </w:rPr>
              <w:t>Ajouts de provenances diverses</w:t>
            </w:r>
          </w:p>
        </w:tc>
        <w:tc>
          <w:tcPr>
            <w:tcW w:type="dxa" w:w="3118"/>
          </w:tcPr>
          <w:p>
            <w:pPr>
              <w:jc w:val="left"/>
            </w:pPr>
            <w:r/>
            <w:r>
              <w:rPr>
                <w:b w:val="0"/>
                <w:sz w:val="18"/>
              </w:rPr>
              <w:t>18 instruments supplémentaires, 1 646 échantillons (ensembles, bois auxiliaires, cuivres graves)</w:t>
            </w:r>
          </w:p>
        </w:tc>
        <w:tc>
          <w:tcPr>
            <w:tcW w:type="dxa" w:w="1984"/>
          </w:tcPr>
          <w:p>
            <w:pPr>
              <w:jc w:val="left"/>
            </w:pPr>
            <w:r/>
            <w:r>
              <w:rPr>
                <w:b w:val="0"/>
                <w:sz w:val="18"/>
              </w:rPr>
              <w:t>VSL, Con Timbre, échantillons personnels</w:t>
            </w:r>
          </w:p>
        </w:tc>
      </w:tr>
      <w:tr>
        <w:tc>
          <w:tcPr>
            <w:tcW w:type="dxa" w:w="1701"/>
          </w:tcPr>
          <w:p>
            <w:pPr>
              <w:jc w:val="center"/>
            </w:pPr>
            <w:r/>
            <w:r>
              <w:rPr>
                <w:b/>
                <w:sz w:val="18"/>
              </w:rPr>
              <w:t>McCarty/CCRMA (2003)</w:t>
            </w:r>
          </w:p>
        </w:tc>
        <w:tc>
          <w:tcPr>
            <w:tcW w:type="dxa" w:w="2551"/>
          </w:tcPr>
          <w:p>
            <w:pPr>
              <w:jc w:val="left"/>
            </w:pPr>
            <w:r/>
            <w:r>
              <w:rPr>
                <w:b w:val="0"/>
                <w:sz w:val="18"/>
              </w:rPr>
              <w:t>Vowel space chart for orchestral instruments</w:t>
            </w:r>
          </w:p>
        </w:tc>
        <w:tc>
          <w:tcPr>
            <w:tcW w:type="dxa" w:w="3118"/>
          </w:tcPr>
          <w:p>
            <w:pPr>
              <w:jc w:val="left"/>
            </w:pPr>
            <w:r/>
            <w:r>
              <w:rPr>
                <w:b w:val="0"/>
                <w:sz w:val="18"/>
              </w:rPr>
              <w:t>Référence directionnelle — limitations d'exactitude reconnues par l'auteur</w:t>
            </w:r>
          </w:p>
        </w:tc>
        <w:tc>
          <w:tcPr>
            <w:tcW w:type="dxa" w:w="1984"/>
          </w:tcPr>
          <w:p>
            <w:pPr>
              <w:jc w:val="left"/>
            </w:pPr>
            <w:r/>
            <w:r>
              <w:rPr>
                <w:b w:val="0"/>
                <w:sz w:val="18"/>
              </w:rPr>
              <w:t>CCRMA Stanford</w:t>
            </w:r>
          </w:p>
        </w:tc>
      </w:tr>
    </w:tbl>
    <w:p/>
    <w:p>
      <w:pPr>
        <w:pStyle w:val="Heading2"/>
      </w:pPr>
      <w:r>
        <w:rPr>
          <w:color w:val="2E7D32"/>
        </w:rPr>
        <w:t>Méthodologie d'extraction formantique</w:t>
      </w:r>
    </w:p>
    <w:p>
      <w:r>
        <w:rPr>
          <w:b/>
        </w:rPr>
        <w:t xml:space="preserve">Techniques INCLUSES : </w:t>
      </w:r>
      <w:r>
        <w:t>ordinario, vibrato, non-vibrato, arco, flautando — dynamiques pp à ff.</w:t>
      </w:r>
    </w:p>
    <w:p>
      <w:r>
        <w:rPr>
          <w:b/>
        </w:rPr>
        <w:t xml:space="preserve">Techniques EXCLUES : </w:t>
      </w:r>
      <w:r>
        <w:t>pizzicato, col legno, tremolo, trilles, harmoniques artificiels, multiphoniques, flutter tongue, sourdines (traitées séparément), glissandi.</w:t>
      </w:r>
    </w:p>
    <w:p>
      <w:pPr>
        <w:pStyle w:val="Heading3"/>
      </w:pPr>
      <w:r>
        <w:t>Paramètres d'analyse</w:t>
      </w:r>
    </w:p>
    <w:tbl>
      <w:tblPr>
        <w:tblStyle w:val="TableGrid"/>
        <w:tblW w:type="auto" w:w="0"/>
        <w:tblLook w:firstColumn="1" w:firstRow="1" w:lastColumn="0" w:lastRow="0" w:noHBand="0" w:noVBand="1" w:val="04A0"/>
      </w:tblPr>
      <w:tblGrid>
        <w:gridCol w:w="4844"/>
        <w:gridCol w:w="4844"/>
      </w:tblGrid>
      <w:tr>
        <w:tc>
          <w:tcPr>
            <w:tcW w:type="dxa" w:w="2835"/>
            <w:shd w:fill="37474F"/>
          </w:tcPr>
          <w:p>
            <w:pPr>
              <w:jc w:val="center"/>
            </w:pPr>
            <w:r/>
            <w:r>
              <w:rPr>
                <w:b/>
                <w:color w:val="FFFFFF"/>
                <w:sz w:val="18"/>
              </w:rPr>
              <w:t>Paramètre</w:t>
            </w:r>
          </w:p>
        </w:tc>
        <w:tc>
          <w:tcPr>
            <w:tcW w:type="dxa" w:w="6520"/>
            <w:shd w:fill="37474F"/>
          </w:tcPr>
          <w:p>
            <w:pPr>
              <w:jc w:val="center"/>
            </w:pPr>
            <w:r/>
            <w:r>
              <w:rPr>
                <w:b/>
                <w:color w:val="FFFFFF"/>
                <w:sz w:val="18"/>
              </w:rPr>
              <w:t>Valeur / Description</w:t>
            </w:r>
          </w:p>
        </w:tc>
      </w:tr>
      <w:tr>
        <w:tc>
          <w:tcPr>
            <w:tcW w:type="dxa" w:w="2835"/>
          </w:tcPr>
          <w:p>
            <w:pPr>
              <w:jc w:val="center"/>
            </w:pPr>
            <w:r/>
            <w:r>
              <w:rPr>
                <w:b/>
                <w:sz w:val="18"/>
              </w:rPr>
              <w:t>FFT Size</w:t>
            </w:r>
          </w:p>
        </w:tc>
        <w:tc>
          <w:tcPr>
            <w:tcW w:type="dxa" w:w="6520"/>
          </w:tcPr>
          <w:p>
            <w:pPr>
              <w:jc w:val="left"/>
            </w:pPr>
            <w:r/>
            <w:r>
              <w:rPr>
                <w:b w:val="0"/>
                <w:sz w:val="18"/>
              </w:rPr>
              <w:t>4 096 samples</w:t>
            </w:r>
          </w:p>
        </w:tc>
      </w:tr>
      <w:tr>
        <w:tc>
          <w:tcPr>
            <w:tcW w:type="dxa" w:w="2835"/>
          </w:tcPr>
          <w:p>
            <w:pPr>
              <w:jc w:val="center"/>
            </w:pPr>
            <w:r/>
            <w:r>
              <w:rPr>
                <w:b/>
                <w:sz w:val="18"/>
              </w:rPr>
              <w:t>Sample Rate</w:t>
            </w:r>
          </w:p>
        </w:tc>
        <w:tc>
          <w:tcPr>
            <w:tcW w:type="dxa" w:w="6520"/>
          </w:tcPr>
          <w:p>
            <w:pPr>
              <w:jc w:val="left"/>
            </w:pPr>
            <w:r/>
            <w:r>
              <w:rPr>
                <w:b w:val="0"/>
                <w:sz w:val="18"/>
              </w:rPr>
              <w:t>44 100 Hz</w:t>
            </w:r>
          </w:p>
        </w:tc>
      </w:tr>
      <w:tr>
        <w:tc>
          <w:tcPr>
            <w:tcW w:type="dxa" w:w="2835"/>
          </w:tcPr>
          <w:p>
            <w:pPr>
              <w:jc w:val="center"/>
            </w:pPr>
            <w:r/>
            <w:r>
              <w:rPr>
                <w:b/>
                <w:sz w:val="18"/>
              </w:rPr>
              <w:t>Résolution fréquentielle</w:t>
            </w:r>
          </w:p>
        </w:tc>
        <w:tc>
          <w:tcPr>
            <w:tcW w:type="dxa" w:w="6520"/>
          </w:tcPr>
          <w:p>
            <w:pPr>
              <w:jc w:val="left"/>
            </w:pPr>
            <w:r/>
            <w:r>
              <w:rPr>
                <w:b w:val="0"/>
                <w:sz w:val="18"/>
              </w:rPr>
              <w:t>~10,8 Hz/bin</w:t>
            </w:r>
          </w:p>
        </w:tc>
      </w:tr>
      <w:tr>
        <w:tc>
          <w:tcPr>
            <w:tcW w:type="dxa" w:w="2835"/>
          </w:tcPr>
          <w:p>
            <w:pPr>
              <w:jc w:val="center"/>
            </w:pPr>
            <w:r/>
            <w:r>
              <w:rPr>
                <w:b/>
                <w:sz w:val="18"/>
              </w:rPr>
              <w:t>Plage analysée</w:t>
            </w:r>
          </w:p>
        </w:tc>
        <w:tc>
          <w:tcPr>
            <w:tcW w:type="dxa" w:w="6520"/>
          </w:tcPr>
          <w:p>
            <w:pPr>
              <w:jc w:val="left"/>
            </w:pPr>
            <w:r/>
            <w:r>
              <w:rPr>
                <w:b w:val="0"/>
                <w:sz w:val="18"/>
              </w:rPr>
              <w:t>100–3 000 Hz</w:t>
            </w:r>
          </w:p>
        </w:tc>
      </w:tr>
      <w:tr>
        <w:tc>
          <w:tcPr>
            <w:tcW w:type="dxa" w:w="2835"/>
          </w:tcPr>
          <w:p>
            <w:pPr>
              <w:jc w:val="center"/>
            </w:pPr>
            <w:r/>
            <w:r>
              <w:rPr>
                <w:b/>
                <w:sz w:val="18"/>
              </w:rPr>
              <w:t>Données d'entrée</w:t>
            </w:r>
          </w:p>
        </w:tc>
        <w:tc>
          <w:tcPr>
            <w:tcW w:type="dxa" w:w="6520"/>
          </w:tcPr>
          <w:p>
            <w:pPr>
              <w:jc w:val="left"/>
            </w:pPr>
            <w:r/>
            <w:r>
              <w:rPr>
                <w:b w:val="0"/>
                <w:sz w:val="18"/>
              </w:rPr>
              <w:t>Enveloppes spectrales pré-calculées (specenv, 1 024 bins) — fenêtrage Hann + lissage appliqués en amont par le pipeline IRCAM (SuperVP/AudioSculpt)</w:t>
            </w:r>
          </w:p>
        </w:tc>
      </w:tr>
      <w:tr>
        <w:tc>
          <w:tcPr>
            <w:tcW w:type="dxa" w:w="2835"/>
          </w:tcPr>
          <w:p>
            <w:pPr>
              <w:jc w:val="center"/>
            </w:pPr>
            <w:r/>
            <w:r>
              <w:rPr>
                <w:b/>
                <w:sz w:val="18"/>
              </w:rPr>
              <w:t>Algorithme</w:t>
            </w:r>
          </w:p>
        </w:tc>
        <w:tc>
          <w:tcPr>
            <w:tcW w:type="dxa" w:w="6520"/>
          </w:tcPr>
          <w:p>
            <w:pPr>
              <w:jc w:val="left"/>
            </w:pPr>
            <w:r/>
            <w:r>
              <w:rPr>
                <w:b w:val="0"/>
                <w:sz w:val="18"/>
              </w:rPr>
              <w:t>Détection de pics sur enveloppe spectrale — pic le plus proéminent (pas premier pic)</w:t>
            </w:r>
          </w:p>
        </w:tc>
      </w:tr>
      <w:tr>
        <w:tc>
          <w:tcPr>
            <w:tcW w:type="dxa" w:w="2835"/>
          </w:tcPr>
          <w:p>
            <w:pPr>
              <w:jc w:val="center"/>
            </w:pPr>
            <w:r/>
            <w:r>
              <w:rPr>
                <w:b/>
                <w:sz w:val="18"/>
              </w:rPr>
              <w:t>Seuil d'amplitude</w:t>
            </w:r>
          </w:p>
        </w:tc>
        <w:tc>
          <w:tcPr>
            <w:tcW w:type="dxa" w:w="6520"/>
          </w:tcPr>
          <w:p>
            <w:pPr>
              <w:jc w:val="left"/>
            </w:pPr>
            <w:r/>
            <w:r>
              <w:rPr>
                <w:b w:val="0"/>
                <w:sz w:val="18"/>
              </w:rPr>
              <w:t>−30 dB sous le pic maximum de la région</w:t>
            </w:r>
          </w:p>
        </w:tc>
      </w:tr>
      <w:tr>
        <w:tc>
          <w:tcPr>
            <w:tcW w:type="dxa" w:w="2835"/>
          </w:tcPr>
          <w:p>
            <w:pPr>
              <w:jc w:val="center"/>
            </w:pPr>
            <w:r/>
            <w:r>
              <w:rPr>
                <w:b/>
                <w:sz w:val="18"/>
              </w:rPr>
              <w:t>Distance minimale</w:t>
            </w:r>
          </w:p>
        </w:tc>
        <w:tc>
          <w:tcPr>
            <w:tcW w:type="dxa" w:w="6520"/>
          </w:tcPr>
          <w:p>
            <w:pPr>
              <w:jc w:val="left"/>
            </w:pPr>
            <w:r/>
            <w:r>
              <w:rPr>
                <w:b w:val="0"/>
                <w:sz w:val="18"/>
              </w:rPr>
              <w:t>70 Hz entre pics (~6.5 bins)</w:t>
            </w:r>
          </w:p>
        </w:tc>
      </w:tr>
    </w:tbl>
    <w:p/>
    <w:p>
      <w:r>
        <w:rPr>
          <w:b/>
        </w:rPr>
        <w:t>🎵 Périmètre de mesure — Tenues soutenues uniquement</w:t>
      </w:r>
    </w:p>
    <w:p>
      <w:r>
        <w:t>Toutes les valeurs formantiques sont mesurées sur des tenues soutenues (sustained) en jeu ordinario. Cela exclut les transitoires d'attaque, les modes de jeu étendus et les dynamiques extrêmes. Les sourdines sont traitées séparément.</w:t>
      </w:r>
    </w:p>
    <w:p/>
    <w:p>
      <w:r>
        <w:rPr>
          <w:b/>
        </w:rPr>
        <w:t>⚠ Note terminologique : F1–F6 dans ce document</w:t>
      </w:r>
    </w:p>
    <w:p>
      <w:r>
        <w:t>Dans cette étude, F1–F6 désignent les pics spectraux principaux extraits par analyse d'enveloppe spectrale (find_peaks). Ces pics correspondent aux résonances principales du système acoustique de l'instrument et sont mis en regard des voyelles cardinales par analogie perceptive — sans prétendre à une équivalence stricte avec les formants du tractus vocal humain (résonances du conduit vocal au sens de Fant, 1960).</w:t>
      </w:r>
    </w:p>
    <w:p/>
    <w:p>
      <w:pPr>
        <w:pStyle w:val="Heading2"/>
      </w:pPr>
      <w:r>
        <w:rPr>
          <w:color w:val="1B5E20"/>
        </w:rPr>
        <w:t>Le Formant Principal (Fp) par centroïde spectral</w:t>
      </w:r>
    </w:p>
    <w:p>
      <w:r>
        <w:rPr>
          <w:b w:val="0"/>
          <w:i w:val="0"/>
          <w:sz w:val="20"/>
        </w:rPr>
        <w:t>Pour les instruments à large tessiture, F1 (premier pic spectral) est extrêmement instable d'un registre à l'autre. La mesure Fp — centroïde spectral pondéré en énergie dans une bande fréquentielle optimisée par instrument — résout ce problème.</w:t>
      </w:r>
    </w:p>
    <w:p>
      <w:r>
        <w:rPr>
          <w:b/>
          <w:i w:val="0"/>
          <w:sz w:val="20"/>
        </w:rPr>
        <w:t>Fp = Σ(fᵢ × Aᵢ) / Σ(Aᵢ)  où fᵢ est la fréquence du bin i, Aᵢ son amplitude, et la somme porte sur une bande choisie par instrument.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984"/>
            <w:shd w:fill="1B5E20"/>
          </w:tcPr>
          <w:p>
            <w:pPr>
              <w:jc w:val="center"/>
            </w:pPr>
            <w:r/>
            <w:r>
              <w:rPr>
                <w:b/>
                <w:color w:val="FFFFFF"/>
                <w:sz w:val="18"/>
              </w:rPr>
              <w:t>Instrument</w:t>
            </w:r>
          </w:p>
        </w:tc>
        <w:tc>
          <w:tcPr>
            <w:tcW w:type="dxa" w:w="850"/>
            <w:shd w:fill="1B5E20"/>
          </w:tcPr>
          <w:p>
            <w:pPr>
              <w:jc w:val="center"/>
            </w:pPr>
            <w:r/>
            <w:r>
              <w:rPr>
                <w:b/>
                <w:color w:val="FFFFFF"/>
                <w:sz w:val="18"/>
              </w:rPr>
              <w:t>Fp (Hz)</w:t>
            </w:r>
          </w:p>
        </w:tc>
        <w:tc>
          <w:tcPr>
            <w:tcW w:type="dxa" w:w="850"/>
            <w:shd w:fill="1B5E20"/>
          </w:tcPr>
          <w:p>
            <w:pPr>
              <w:jc w:val="center"/>
            </w:pPr>
            <w:r/>
            <w:r>
              <w:rPr>
                <w:b/>
                <w:color w:val="FFFFFF"/>
                <w:sz w:val="18"/>
              </w:rPr>
              <w:t>σ Fp</w:t>
            </w:r>
          </w:p>
        </w:tc>
        <w:tc>
          <w:tcPr>
            <w:tcW w:type="dxa" w:w="850"/>
            <w:shd w:fill="1B5E20"/>
          </w:tcPr>
          <w:p>
            <w:pPr>
              <w:jc w:val="center"/>
            </w:pPr>
            <w:r/>
            <w:r>
              <w:rPr>
                <w:b/>
                <w:color w:val="FFFFFF"/>
                <w:sz w:val="18"/>
              </w:rPr>
              <w:t>F2 (Hz)</w:t>
            </w:r>
          </w:p>
        </w:tc>
        <w:tc>
          <w:tcPr>
            <w:tcW w:type="dxa" w:w="850"/>
            <w:shd w:fill="1B5E20"/>
          </w:tcPr>
          <w:p>
            <w:pPr>
              <w:jc w:val="center"/>
            </w:pPr>
            <w:r/>
            <w:r>
              <w:rPr>
                <w:b/>
                <w:color w:val="FFFFFF"/>
                <w:sz w:val="18"/>
              </w:rPr>
              <w:t>σ F2</w:t>
            </w:r>
          </w:p>
        </w:tc>
        <w:tc>
          <w:tcPr>
            <w:tcW w:type="dxa" w:w="1134"/>
            <w:shd w:fill="1B5E20"/>
          </w:tcPr>
          <w:p>
            <w:pPr>
              <w:jc w:val="center"/>
            </w:pPr>
            <w:r/>
            <w:r>
              <w:rPr>
                <w:b/>
                <w:color w:val="FFFFFF"/>
                <w:sz w:val="18"/>
              </w:rPr>
              <w:t>Gain stabilité</w:t>
            </w:r>
          </w:p>
        </w:tc>
      </w:tr>
      <w:tr>
        <w:tc>
          <w:tcPr>
            <w:tcW w:type="dxa" w:w="1984"/>
          </w:tcPr>
          <w:p>
            <w:pPr>
              <w:jc w:val="center"/>
            </w:pPr>
            <w:r/>
            <w:r>
              <w:rPr>
                <w:b/>
                <w:sz w:val="18"/>
              </w:rPr>
              <w:t>Violon</w:t>
            </w:r>
          </w:p>
        </w:tc>
        <w:tc>
          <w:tcPr>
            <w:tcW w:type="dxa" w:w="850"/>
          </w:tcPr>
          <w:p>
            <w:pPr>
              <w:jc w:val="center"/>
            </w:pPr>
            <w:r/>
            <w:r>
              <w:rPr>
                <w:b w:val="0"/>
                <w:sz w:val="18"/>
              </w:rPr>
              <w:t>893</w:t>
            </w:r>
          </w:p>
        </w:tc>
        <w:tc>
          <w:tcPr>
            <w:tcW w:type="dxa" w:w="850"/>
          </w:tcPr>
          <w:p>
            <w:pPr>
              <w:jc w:val="center"/>
            </w:pPr>
            <w:r/>
            <w:r>
              <w:rPr>
                <w:b w:val="0"/>
                <w:sz w:val="18"/>
              </w:rPr>
              <w:t>92</w:t>
            </w:r>
          </w:p>
        </w:tc>
        <w:tc>
          <w:tcPr>
            <w:tcW w:type="dxa" w:w="850"/>
          </w:tcPr>
          <w:p>
            <w:pPr>
              <w:jc w:val="center"/>
            </w:pPr>
            <w:r/>
            <w:r>
              <w:rPr>
                <w:b w:val="0"/>
                <w:sz w:val="18"/>
              </w:rPr>
              <w:t>1 518</w:t>
            </w:r>
          </w:p>
        </w:tc>
        <w:tc>
          <w:tcPr>
            <w:tcW w:type="dxa" w:w="850"/>
          </w:tcPr>
          <w:p>
            <w:pPr>
              <w:jc w:val="center"/>
            </w:pPr>
            <w:r/>
            <w:r>
              <w:rPr>
                <w:b w:val="0"/>
                <w:sz w:val="18"/>
              </w:rPr>
              <w:t>651</w:t>
            </w:r>
          </w:p>
        </w:tc>
        <w:tc>
          <w:tcPr>
            <w:tcW w:type="dxa" w:w="1134"/>
          </w:tcPr>
          <w:p>
            <w:pPr>
              <w:jc w:val="center"/>
            </w:pPr>
            <w:r/>
            <w:r>
              <w:rPr>
                <w:b w:val="0"/>
                <w:sz w:val="18"/>
              </w:rPr>
              <w:t>7.1×</w:t>
            </w:r>
          </w:p>
        </w:tc>
      </w:tr>
      <w:tr>
        <w:tc>
          <w:tcPr>
            <w:tcW w:type="dxa" w:w="1984"/>
          </w:tcPr>
          <w:p>
            <w:pPr>
              <w:jc w:val="center"/>
            </w:pPr>
            <w:r/>
            <w:r>
              <w:rPr>
                <w:b/>
                <w:sz w:val="18"/>
              </w:rPr>
              <w:t>Trompette</w:t>
            </w:r>
          </w:p>
        </w:tc>
        <w:tc>
          <w:tcPr>
            <w:tcW w:type="dxa" w:w="850"/>
          </w:tcPr>
          <w:p>
            <w:pPr>
              <w:jc w:val="center"/>
            </w:pPr>
            <w:r/>
            <w:r>
              <w:rPr>
                <w:b w:val="0"/>
                <w:sz w:val="18"/>
              </w:rPr>
              <w:t>1 046</w:t>
            </w:r>
          </w:p>
        </w:tc>
        <w:tc>
          <w:tcPr>
            <w:tcW w:type="dxa" w:w="850"/>
          </w:tcPr>
          <w:p>
            <w:pPr>
              <w:jc w:val="center"/>
            </w:pPr>
            <w:r/>
            <w:r>
              <w:rPr>
                <w:b w:val="0"/>
                <w:sz w:val="18"/>
              </w:rPr>
              <w:t>98</w:t>
            </w:r>
          </w:p>
        </w:tc>
        <w:tc>
          <w:tcPr>
            <w:tcW w:type="dxa" w:w="850"/>
          </w:tcPr>
          <w:p>
            <w:pPr>
              <w:jc w:val="center"/>
            </w:pPr>
            <w:r/>
            <w:r>
              <w:rPr>
                <w:b w:val="0"/>
                <w:sz w:val="18"/>
              </w:rPr>
              <w:t>1 324</w:t>
            </w:r>
          </w:p>
        </w:tc>
        <w:tc>
          <w:tcPr>
            <w:tcW w:type="dxa" w:w="850"/>
          </w:tcPr>
          <w:p>
            <w:pPr>
              <w:jc w:val="center"/>
            </w:pPr>
            <w:r/>
            <w:r>
              <w:rPr>
                <w:b w:val="0"/>
                <w:sz w:val="18"/>
              </w:rPr>
              <w:t>1 018</w:t>
            </w:r>
          </w:p>
        </w:tc>
        <w:tc>
          <w:tcPr>
            <w:tcW w:type="dxa" w:w="1134"/>
          </w:tcPr>
          <w:p>
            <w:pPr>
              <w:jc w:val="center"/>
            </w:pPr>
            <w:r/>
            <w:r>
              <w:rPr>
                <w:b w:val="0"/>
                <w:sz w:val="18"/>
              </w:rPr>
              <w:t>10.4×</w:t>
            </w:r>
          </w:p>
        </w:tc>
      </w:tr>
      <w:tr>
        <w:tc>
          <w:tcPr>
            <w:tcW w:type="dxa" w:w="1984"/>
          </w:tcPr>
          <w:p>
            <w:pPr>
              <w:jc w:val="center"/>
            </w:pPr>
            <w:r/>
            <w:r>
              <w:rPr>
                <w:b/>
                <w:sz w:val="18"/>
              </w:rPr>
              <w:t>Clarinette Sib</w:t>
            </w:r>
          </w:p>
        </w:tc>
        <w:tc>
          <w:tcPr>
            <w:tcW w:type="dxa" w:w="850"/>
          </w:tcPr>
          <w:p>
            <w:pPr>
              <w:jc w:val="center"/>
            </w:pPr>
            <w:r/>
            <w:r>
              <w:rPr>
                <w:b w:val="0"/>
                <w:sz w:val="18"/>
              </w:rPr>
              <w:t>1 412</w:t>
            </w:r>
          </w:p>
        </w:tc>
        <w:tc>
          <w:tcPr>
            <w:tcW w:type="dxa" w:w="850"/>
          </w:tcPr>
          <w:p>
            <w:pPr>
              <w:jc w:val="center"/>
            </w:pPr>
            <w:r/>
            <w:r>
              <w:rPr>
                <w:b w:val="0"/>
                <w:sz w:val="18"/>
              </w:rPr>
              <w:t>169</w:t>
            </w:r>
          </w:p>
        </w:tc>
        <w:tc>
          <w:tcPr>
            <w:tcW w:type="dxa" w:w="850"/>
          </w:tcPr>
          <w:p>
            <w:pPr>
              <w:jc w:val="center"/>
            </w:pPr>
            <w:r/>
            <w:r>
              <w:rPr>
                <w:b w:val="0"/>
                <w:sz w:val="18"/>
              </w:rPr>
              <w:t>1 130</w:t>
            </w:r>
          </w:p>
        </w:tc>
        <w:tc>
          <w:tcPr>
            <w:tcW w:type="dxa" w:w="850"/>
          </w:tcPr>
          <w:p>
            <w:pPr>
              <w:jc w:val="center"/>
            </w:pPr>
            <w:r/>
            <w:r>
              <w:rPr>
                <w:b w:val="0"/>
                <w:sz w:val="18"/>
              </w:rPr>
              <w:t>795</w:t>
            </w:r>
          </w:p>
        </w:tc>
        <w:tc>
          <w:tcPr>
            <w:tcW w:type="dxa" w:w="1134"/>
          </w:tcPr>
          <w:p>
            <w:pPr>
              <w:jc w:val="center"/>
            </w:pPr>
            <w:r/>
            <w:r>
              <w:rPr>
                <w:b w:val="0"/>
                <w:sz w:val="18"/>
              </w:rPr>
              <w:t>4.7×</w:t>
            </w:r>
          </w:p>
        </w:tc>
      </w:tr>
      <w:tr>
        <w:tc>
          <w:tcPr>
            <w:tcW w:type="dxa" w:w="1984"/>
          </w:tcPr>
          <w:p>
            <w:pPr>
              <w:jc w:val="center"/>
            </w:pPr>
            <w:r/>
            <w:r>
              <w:rPr>
                <w:b/>
                <w:sz w:val="18"/>
              </w:rPr>
              <w:t>Cor</w:t>
            </w:r>
          </w:p>
        </w:tc>
        <w:tc>
          <w:tcPr>
            <w:tcW w:type="dxa" w:w="850"/>
          </w:tcPr>
          <w:p>
            <w:pPr>
              <w:jc w:val="center"/>
            </w:pPr>
            <w:r/>
            <w:r>
              <w:rPr>
                <w:b w:val="0"/>
                <w:sz w:val="18"/>
              </w:rPr>
              <w:t>738</w:t>
            </w:r>
          </w:p>
        </w:tc>
        <w:tc>
          <w:tcPr>
            <w:tcW w:type="dxa" w:w="850"/>
          </w:tcPr>
          <w:p>
            <w:pPr>
              <w:jc w:val="center"/>
            </w:pPr>
            <w:r/>
            <w:r>
              <w:rPr>
                <w:b w:val="0"/>
                <w:sz w:val="18"/>
              </w:rPr>
              <w:t>112</w:t>
            </w:r>
          </w:p>
        </w:tc>
        <w:tc>
          <w:tcPr>
            <w:tcW w:type="dxa" w:w="850"/>
          </w:tcPr>
          <w:p>
            <w:pPr>
              <w:jc w:val="center"/>
            </w:pPr>
            <w:r/>
            <w:r>
              <w:rPr>
                <w:b w:val="0"/>
                <w:sz w:val="18"/>
              </w:rPr>
              <w:t>1 106</w:t>
            </w:r>
          </w:p>
        </w:tc>
        <w:tc>
          <w:tcPr>
            <w:tcW w:type="dxa" w:w="850"/>
          </w:tcPr>
          <w:p>
            <w:pPr>
              <w:jc w:val="center"/>
            </w:pPr>
            <w:r/>
            <w:r>
              <w:rPr>
                <w:b w:val="0"/>
                <w:sz w:val="18"/>
              </w:rPr>
              <w:t>734</w:t>
            </w:r>
          </w:p>
        </w:tc>
        <w:tc>
          <w:tcPr>
            <w:tcW w:type="dxa" w:w="1134"/>
          </w:tcPr>
          <w:p>
            <w:pPr>
              <w:jc w:val="center"/>
            </w:pPr>
            <w:r/>
            <w:r>
              <w:rPr>
                <w:b w:val="0"/>
                <w:sz w:val="18"/>
              </w:rPr>
              <w:t>6.5×</w:t>
            </w:r>
          </w:p>
        </w:tc>
      </w:tr>
    </w:tbl>
    <w:p/>
    <w:p>
      <w:r>
        <w:rPr>
          <w:b/>
        </w:rPr>
        <w:t>σ(Fp) comme indicateur de sélectivité spectrale</w:t>
      </w:r>
    </w:p>
    <w:p>
      <w:r>
        <w:t>L'écart-type σ du Fp reflète indirectement la largeur de bande (bandwidth) de la résonance principale. Un σ(Fp) faible indique un formant étroit et bien défini (forte sélectivité, Q élevé) ; un σ(Fp) élevé indique un formant large et diffus. Ainsi, le violon (σ=92 Hz) possède un timbre spectralement plus focalisé que la clarinette Sib (σ=169 Hz).</w:t>
      </w:r>
    </w:p>
    <w:p/>
    <w:p>
      <w:pPr>
        <w:pStyle w:val="Heading2"/>
      </w:pPr>
      <w:r>
        <w:rPr>
          <w:color w:val="2E7D32"/>
        </w:rPr>
        <w:t>Correspondance voyelles–fréquences (Meyer 2009)</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020"/>
            <w:shd w:fill="4A148C"/>
          </w:tcPr>
          <w:p>
            <w:pPr>
              <w:jc w:val="center"/>
            </w:pPr>
            <w:r/>
            <w:r>
              <w:rPr>
                <w:b/>
                <w:color w:val="FFFFFF"/>
                <w:sz w:val="18"/>
              </w:rPr>
              <w:t>Voyelle</w:t>
            </w:r>
          </w:p>
        </w:tc>
        <w:tc>
          <w:tcPr>
            <w:tcW w:type="dxa" w:w="1134"/>
            <w:shd w:fill="4A148C"/>
          </w:tcPr>
          <w:p>
            <w:pPr>
              <w:jc w:val="center"/>
            </w:pPr>
            <w:r/>
            <w:r>
              <w:rPr>
                <w:b/>
                <w:color w:val="FFFFFF"/>
                <w:sz w:val="18"/>
              </w:rPr>
              <w:t>Fréquence (Hz)</w:t>
            </w:r>
          </w:p>
        </w:tc>
        <w:tc>
          <w:tcPr>
            <w:tcW w:type="dxa" w:w="1984"/>
            <w:shd w:fill="4A148C"/>
          </w:tcPr>
          <w:p>
            <w:pPr>
              <w:jc w:val="center"/>
            </w:pPr>
            <w:r/>
            <w:r>
              <w:rPr>
                <w:b/>
                <w:color w:val="FFFFFF"/>
                <w:sz w:val="18"/>
              </w:rPr>
              <w:t>Exemples français</w:t>
            </w:r>
          </w:p>
        </w:tc>
        <w:tc>
          <w:tcPr>
            <w:tcW w:type="dxa" w:w="1417"/>
            <w:shd w:fill="4A148C"/>
          </w:tcPr>
          <w:p>
            <w:pPr>
              <w:jc w:val="center"/>
            </w:pPr>
            <w:r/>
            <w:r>
              <w:rPr>
                <w:b/>
                <w:color w:val="FFFFFF"/>
                <w:sz w:val="18"/>
              </w:rPr>
              <w:t>Perception</w:t>
            </w:r>
          </w:p>
        </w:tc>
        <w:tc>
          <w:tcPr>
            <w:tcW w:type="dxa" w:w="4819"/>
            <w:shd w:fill="4A148C"/>
          </w:tcPr>
          <w:p>
            <w:pPr>
              <w:jc w:val="center"/>
            </w:pPr>
            <w:r/>
            <w:r>
              <w:rPr>
                <w:b/>
                <w:color w:val="FFFFFF"/>
                <w:sz w:val="18"/>
              </w:rPr>
              <w:t>Instruments représentatifs</w:t>
            </w:r>
          </w:p>
        </w:tc>
      </w:tr>
      <w:tr>
        <w:tc>
          <w:tcPr>
            <w:tcW w:type="dxa" w:w="1020"/>
          </w:tcPr>
          <w:p>
            <w:pPr>
              <w:jc w:val="center"/>
            </w:pPr>
            <w:r/>
            <w:r>
              <w:rPr>
                <w:b/>
                <w:sz w:val="18"/>
              </w:rPr>
              <w:t>u (oo)</w:t>
            </w:r>
          </w:p>
        </w:tc>
        <w:tc>
          <w:tcPr>
            <w:tcW w:type="dxa" w:w="1134"/>
          </w:tcPr>
          <w:p>
            <w:pPr>
              <w:jc w:val="center"/>
            </w:pPr>
            <w:r/>
            <w:r>
              <w:rPr>
                <w:b w:val="0"/>
                <w:sz w:val="18"/>
              </w:rPr>
              <w:t>200–400</w:t>
            </w:r>
          </w:p>
        </w:tc>
        <w:tc>
          <w:tcPr>
            <w:tcW w:type="dxa" w:w="1984"/>
          </w:tcPr>
          <w:p>
            <w:pPr>
              <w:jc w:val="left"/>
            </w:pPr>
            <w:r/>
            <w:r>
              <w:rPr>
                <w:b w:val="0"/>
                <w:sz w:val="18"/>
              </w:rPr>
              <w:t>bouche, tour</w:t>
            </w:r>
          </w:p>
        </w:tc>
        <w:tc>
          <w:tcPr>
            <w:tcW w:type="dxa" w:w="1417"/>
          </w:tcPr>
          <w:p>
            <w:pPr>
              <w:jc w:val="center"/>
            </w:pPr>
            <w:r/>
            <w:r>
              <w:rPr>
                <w:b w:val="0"/>
                <w:sz w:val="18"/>
              </w:rPr>
              <w:t>Profondeur, gravité</w:t>
            </w:r>
          </w:p>
        </w:tc>
        <w:tc>
          <w:tcPr>
            <w:tcW w:type="dxa" w:w="4819"/>
          </w:tcPr>
          <w:p>
            <w:pPr>
              <w:jc w:val="left"/>
            </w:pPr>
            <w:r/>
            <w:r>
              <w:rPr>
                <w:b w:val="0"/>
                <w:sz w:val="18"/>
              </w:rPr>
              <w:t>Contrebasse (172), Tuba basse (226), Tuba CB (226), Contrebasson (226), Trombone (237), Flûte basse (301)</w:t>
            </w:r>
          </w:p>
        </w:tc>
      </w:tr>
      <w:tr>
        <w:tc>
          <w:tcPr>
            <w:tcW w:type="dxa" w:w="1020"/>
          </w:tcPr>
          <w:p>
            <w:pPr>
              <w:jc w:val="center"/>
            </w:pPr>
            <w:r/>
            <w:r>
              <w:rPr>
                <w:b/>
                <w:sz w:val="18"/>
              </w:rPr>
              <w:t>o (oh)</w:t>
            </w:r>
          </w:p>
        </w:tc>
        <w:tc>
          <w:tcPr>
            <w:tcW w:type="dxa" w:w="1134"/>
          </w:tcPr>
          <w:p>
            <w:pPr>
              <w:jc w:val="center"/>
            </w:pPr>
            <w:r/>
            <w:r>
              <w:rPr>
                <w:b w:val="0"/>
                <w:sz w:val="18"/>
              </w:rPr>
              <w:t>400–600</w:t>
            </w:r>
          </w:p>
        </w:tc>
        <w:tc>
          <w:tcPr>
            <w:tcW w:type="dxa" w:w="1984"/>
          </w:tcPr>
          <w:p>
            <w:pPr>
              <w:jc w:val="left"/>
            </w:pPr>
            <w:r/>
            <w:r>
              <w:rPr>
                <w:b w:val="0"/>
                <w:sz w:val="18"/>
              </w:rPr>
              <w:t>beau, veau</w:t>
            </w:r>
          </w:p>
        </w:tc>
        <w:tc>
          <w:tcPr>
            <w:tcW w:type="dxa" w:w="1417"/>
          </w:tcPr>
          <w:p>
            <w:pPr>
              <w:jc w:val="center"/>
            </w:pPr>
            <w:r/>
            <w:r>
              <w:rPr>
                <w:b w:val="0"/>
                <w:sz w:val="18"/>
              </w:rPr>
              <w:t>Plénitude, rondeur</w:t>
            </w:r>
          </w:p>
        </w:tc>
        <w:tc>
          <w:tcPr>
            <w:tcW w:type="dxa" w:w="4819"/>
          </w:tcPr>
          <w:p>
            <w:pPr>
              <w:jc w:val="left"/>
            </w:pPr>
            <w:r/>
            <w:r>
              <w:rPr>
                <w:b w:val="0"/>
                <w:sz w:val="18"/>
              </w:rPr>
              <w:t>Alto (377), Cor (388), Sax alto (398), Cor anglais (452), Cl. Sib (463), Basson (495), Ens. Violons (495), Violon (506)</w:t>
            </w:r>
          </w:p>
        </w:tc>
      </w:tr>
      <w:tr>
        <w:tc>
          <w:tcPr>
            <w:tcW w:type="dxa" w:w="1020"/>
          </w:tcPr>
          <w:p>
            <w:pPr>
              <w:jc w:val="center"/>
            </w:pPr>
            <w:r/>
            <w:r>
              <w:rPr>
                <w:b/>
                <w:sz w:val="18"/>
              </w:rPr>
              <w:t>å (aw)</w:t>
            </w:r>
          </w:p>
        </w:tc>
        <w:tc>
          <w:tcPr>
            <w:tcW w:type="dxa" w:w="1134"/>
          </w:tcPr>
          <w:p>
            <w:pPr>
              <w:jc w:val="center"/>
            </w:pPr>
            <w:r/>
            <w:r>
              <w:rPr>
                <w:b w:val="0"/>
                <w:sz w:val="18"/>
              </w:rPr>
              <w:t>~600–800</w:t>
            </w:r>
          </w:p>
        </w:tc>
        <w:tc>
          <w:tcPr>
            <w:tcW w:type="dxa" w:w="1984"/>
          </w:tcPr>
          <w:p>
            <w:pPr>
              <w:jc w:val="left"/>
            </w:pPr>
            <w:r/>
            <w:r>
              <w:rPr>
                <w:b w:val="0"/>
                <w:sz w:val="18"/>
              </w:rPr>
              <w:t>pâte, âme, (entre o et a)</w:t>
            </w:r>
          </w:p>
        </w:tc>
        <w:tc>
          <w:tcPr>
            <w:tcW w:type="dxa" w:w="1417"/>
          </w:tcPr>
          <w:p>
            <w:pPr>
              <w:jc w:val="center"/>
            </w:pPr>
            <w:r/>
            <w:r>
              <w:rPr>
                <w:b w:val="0"/>
                <w:sz w:val="18"/>
              </w:rPr>
              <w:t>Transition, chaleur</w:t>
            </w:r>
          </w:p>
        </w:tc>
        <w:tc>
          <w:tcPr>
            <w:tcW w:type="dxa" w:w="4819"/>
          </w:tcPr>
          <w:p>
            <w:pPr>
              <w:jc w:val="left"/>
            </w:pPr>
            <w:r/>
            <w:r>
              <w:rPr>
                <w:b w:val="0"/>
                <w:sz w:val="18"/>
              </w:rPr>
              <w:t>Cl. Mib (678), Flûte (743), Hautbois (743), Trompette (786)</w:t>
            </w:r>
          </w:p>
        </w:tc>
      </w:tr>
      <w:tr>
        <w:tc>
          <w:tcPr>
            <w:tcW w:type="dxa" w:w="1020"/>
          </w:tcPr>
          <w:p>
            <w:pPr>
              <w:jc w:val="center"/>
            </w:pPr>
            <w:r/>
            <w:r>
              <w:rPr>
                <w:b/>
                <w:sz w:val="18"/>
              </w:rPr>
              <w:t>a (ah)</w:t>
            </w:r>
          </w:p>
        </w:tc>
        <w:tc>
          <w:tcPr>
            <w:tcW w:type="dxa" w:w="1134"/>
          </w:tcPr>
          <w:p>
            <w:pPr>
              <w:jc w:val="center"/>
            </w:pPr>
            <w:r/>
            <w:r>
              <w:rPr>
                <w:b w:val="0"/>
                <w:sz w:val="18"/>
              </w:rPr>
              <w:t>800–1 250</w:t>
            </w:r>
          </w:p>
        </w:tc>
        <w:tc>
          <w:tcPr>
            <w:tcW w:type="dxa" w:w="1984"/>
          </w:tcPr>
          <w:p>
            <w:pPr>
              <w:jc w:val="left"/>
            </w:pPr>
            <w:r/>
            <w:r>
              <w:rPr>
                <w:b w:val="0"/>
                <w:sz w:val="18"/>
              </w:rPr>
              <w:t>pas, classe</w:t>
            </w:r>
          </w:p>
        </w:tc>
        <w:tc>
          <w:tcPr>
            <w:tcW w:type="dxa" w:w="1417"/>
          </w:tcPr>
          <w:p>
            <w:pPr>
              <w:jc w:val="center"/>
            </w:pPr>
            <w:r/>
            <w:r>
              <w:rPr>
                <w:b w:val="0"/>
                <w:sz w:val="18"/>
              </w:rPr>
              <w:t>Puissance, présence</w:t>
            </w:r>
          </w:p>
        </w:tc>
        <w:tc>
          <w:tcPr>
            <w:tcW w:type="dxa" w:w="4819"/>
          </w:tcPr>
          <w:p>
            <w:pPr>
              <w:jc w:val="left"/>
            </w:pPr>
            <w:r/>
            <w:r>
              <w:rPr>
                <w:b w:val="0"/>
                <w:sz w:val="18"/>
              </w:rPr>
              <w:t>Cor Fp (738), Violon Fp (893), Basson Fp (1 079), Trompette Fp (1 046), Cor anglais Fp (1 135)</w:t>
            </w:r>
          </w:p>
        </w:tc>
      </w:tr>
      <w:tr>
        <w:tc>
          <w:tcPr>
            <w:tcW w:type="dxa" w:w="1020"/>
          </w:tcPr>
          <w:p>
            <w:pPr>
              <w:jc w:val="center"/>
            </w:pPr>
            <w:r/>
            <w:r>
              <w:rPr>
                <w:b/>
                <w:sz w:val="18"/>
              </w:rPr>
              <w:t>e (eh)</w:t>
            </w:r>
          </w:p>
        </w:tc>
        <w:tc>
          <w:tcPr>
            <w:tcW w:type="dxa" w:w="1134"/>
          </w:tcPr>
          <w:p>
            <w:pPr>
              <w:jc w:val="center"/>
            </w:pPr>
            <w:r/>
            <w:r>
              <w:rPr>
                <w:b w:val="0"/>
                <w:sz w:val="18"/>
              </w:rPr>
              <w:t>1 250–2 600</w:t>
            </w:r>
          </w:p>
        </w:tc>
        <w:tc>
          <w:tcPr>
            <w:tcW w:type="dxa" w:w="1984"/>
          </w:tcPr>
          <w:p>
            <w:pPr>
              <w:jc w:val="left"/>
            </w:pPr>
            <w:r/>
            <w:r>
              <w:rPr>
                <w:b w:val="0"/>
                <w:sz w:val="18"/>
              </w:rPr>
              <w:t>fée, étoile</w:t>
            </w:r>
          </w:p>
        </w:tc>
        <w:tc>
          <w:tcPr>
            <w:tcW w:type="dxa" w:w="1417"/>
          </w:tcPr>
          <w:p>
            <w:pPr>
              <w:jc w:val="center"/>
            </w:pPr>
            <w:r/>
            <w:r>
              <w:rPr>
                <w:b w:val="0"/>
                <w:sz w:val="18"/>
              </w:rPr>
              <w:t>Clarté, brillance</w:t>
            </w:r>
          </w:p>
        </w:tc>
        <w:tc>
          <w:tcPr>
            <w:tcW w:type="dxa" w:w="4819"/>
          </w:tcPr>
          <w:p>
            <w:pPr>
              <w:jc w:val="left"/>
            </w:pPr>
            <w:r/>
            <w:r>
              <w:rPr>
                <w:b w:val="0"/>
                <w:sz w:val="18"/>
              </w:rPr>
              <w:t>Cl. Sib Fp (1 412), Flûte Fp (1 535), Hautbois Fp (1 485), Cl. Mib Fp (1 266), Petite flûte (1 109)</w:t>
            </w:r>
          </w:p>
        </w:tc>
      </w:tr>
      <w:tr>
        <w:tc>
          <w:tcPr>
            <w:tcW w:type="dxa" w:w="1020"/>
          </w:tcPr>
          <w:p>
            <w:pPr>
              <w:jc w:val="center"/>
            </w:pPr>
            <w:r/>
            <w:r>
              <w:rPr>
                <w:b/>
                <w:sz w:val="18"/>
              </w:rPr>
              <w:t>i (ee)</w:t>
            </w:r>
          </w:p>
        </w:tc>
        <w:tc>
          <w:tcPr>
            <w:tcW w:type="dxa" w:w="1134"/>
          </w:tcPr>
          <w:p>
            <w:pPr>
              <w:jc w:val="center"/>
            </w:pPr>
            <w:r/>
            <w:r>
              <w:rPr>
                <w:b w:val="0"/>
                <w:sz w:val="18"/>
              </w:rPr>
              <w:t>&gt; 2 600</w:t>
            </w:r>
          </w:p>
        </w:tc>
        <w:tc>
          <w:tcPr>
            <w:tcW w:type="dxa" w:w="1984"/>
          </w:tcPr>
          <w:p>
            <w:pPr>
              <w:jc w:val="left"/>
            </w:pPr>
            <w:r/>
            <w:r>
              <w:rPr>
                <w:b w:val="0"/>
                <w:sz w:val="18"/>
              </w:rPr>
              <w:t>vie, siffler</w:t>
            </w:r>
          </w:p>
        </w:tc>
        <w:tc>
          <w:tcPr>
            <w:tcW w:type="dxa" w:w="1417"/>
          </w:tcPr>
          <w:p>
            <w:pPr>
              <w:jc w:val="center"/>
            </w:pPr>
            <w:r/>
            <w:r>
              <w:rPr>
                <w:b w:val="0"/>
                <w:sz w:val="18"/>
              </w:rPr>
              <w:t>Brillance extrême, stridence</w:t>
            </w:r>
          </w:p>
        </w:tc>
        <w:tc>
          <w:tcPr>
            <w:tcW w:type="dxa" w:w="4819"/>
          </w:tcPr>
          <w:p>
            <w:pPr>
              <w:jc w:val="left"/>
            </w:pPr>
            <w:r/>
            <w:r>
              <w:rPr>
                <w:b w:val="0"/>
                <w:sz w:val="18"/>
              </w:rPr>
              <w:t>Petite flûte (1 992 F2), Trompette+sourdine harmon (2 358)</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