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VI. Synthèse — Convergences Formantiques</w:t>
      </w:r>
    </w:p>
    <w:p>
      <w:r>
        <w:rPr>
          <w:b w:val="0"/>
          <w:i w:val="0"/>
          <w:sz w:val="20"/>
        </w:rPr>
        <w:t>Synthèse des découvertes principales de l'analyse formantique. 93 % de concordance multi-sources (27/29 instruments).</w:t>
      </w:r>
    </w:p>
    <w:p>
      <w:pPr>
        <w:pStyle w:val="Heading2"/>
      </w:pPr>
      <w:r>
        <w:rPr>
          <w:color w:val="B71C1C"/>
        </w:rPr>
        <w:t>Le Cluster de Convergence 450–502 Hz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clu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415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701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</w:t>
            </w:r>
          </w:p>
        </w:tc>
        <w:tc>
          <w:tcPr>
            <w:tcW w:type="dxa" w:w="1134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Famille</w:t>
            </w:r>
          </w:p>
        </w:tc>
        <w:tc>
          <w:tcPr>
            <w:tcW w:type="dxa" w:w="850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850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1134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Δ vs Violoncelle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Bois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 Hz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Cuivres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 Hz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Cuivres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 Hz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Cuivres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Hz</w:t>
            </w:r>
          </w:p>
        </w:tc>
      </w:tr>
      <w:tr>
        <w:tc>
          <w:tcPr>
            <w:tcW w:type="dxa" w:w="1701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Cordes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499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Bois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502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 Hz ★</w:t>
            </w:r>
          </w:p>
        </w:tc>
      </w:tr>
    </w:tbl>
    <w:p/>
    <w:p>
      <w:pPr>
        <w:pStyle w:val="Heading2"/>
      </w:pPr>
      <w:r>
        <w:rPr>
          <w:color w:val="2E7D32"/>
        </w:rPr>
        <w:t>Positions F1/Fp — 20 instruments de base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089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f1_b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9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E7D32"/>
        </w:rPr>
        <w:t>Matrice de Convergence — Instruments de base</w:t>
      </w:r>
    </w:p>
    <w:p>
      <w:r>
        <w:rPr>
          <w:b w:val="0"/>
          <w:i/>
          <w:sz w:val="20"/>
        </w:rPr>
        <w:t>Valeurs en Hz entre F1 des paires d'instruments. Vert = forte convergence (Δ faible).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981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matrix_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17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E7D32"/>
        </w:rPr>
        <w:t>Matrice de Convergence — Tous instruments (avec sourdines)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6239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matrix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96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E7D32"/>
        </w:rPr>
        <w:t>Tableau des Doublures Vérifiées (classées par 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417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Inst. A</w:t>
            </w:r>
          </w:p>
        </w:tc>
        <w:tc>
          <w:tcPr>
            <w:tcW w:type="dxa" w:w="62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F1 A</w:t>
            </w:r>
          </w:p>
        </w:tc>
        <w:tc>
          <w:tcPr>
            <w:tcW w:type="dxa" w:w="1417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Inst. B</w:t>
            </w:r>
          </w:p>
        </w:tc>
        <w:tc>
          <w:tcPr>
            <w:tcW w:type="dxa" w:w="62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F1 B</w:t>
            </w:r>
          </w:p>
        </w:tc>
        <w:tc>
          <w:tcPr>
            <w:tcW w:type="dxa" w:w="62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Δ (Hz)</w:t>
            </w:r>
          </w:p>
        </w:tc>
        <w:tc>
          <w:tcPr>
            <w:tcW w:type="dxa" w:w="1247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Qualité</w:t>
            </w:r>
          </w:p>
        </w:tc>
        <w:tc>
          <w:tcPr>
            <w:tcW w:type="dxa" w:w="51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02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Rapport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 ★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Tuba contrebasse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Octave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Trb. 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Cl. 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Tuba contrebasse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Octave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Contrebasson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Tuba 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/u/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Contrebasson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Contrebasse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/u/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Cl. Sib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 Fp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Flûte Fp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1535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Hautbois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1460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Bonne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/e/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Ens. violons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1556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Hautbois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1460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/e/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Hautbois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Bonne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/å/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Trompette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Complémentaire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Cl. Sib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1412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Complémentaire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1A237E"/>
        </w:rPr>
        <w:t>6 Principes d'Orchestration Acoustique</w:t>
      </w:r>
    </w:p>
    <w:p>
      <w:pPr>
        <w:pStyle w:val="Heading3"/>
      </w:pPr>
      <w:r>
        <w:rPr>
          <w:color w:val="4A148C"/>
        </w:rPr>
        <w:t>1. Convergence formantique (fusion)</w:t>
      </w:r>
    </w:p>
    <w:p>
      <w:r>
        <w:rPr>
          <w:b w:val="0"/>
          <w:i w:val="0"/>
          <w:sz w:val="20"/>
        </w:rPr>
        <w:t>Quand deux instruments partagent un F1 similaire (Δ ≤ 80 Hz), leurs timbres fusionnent : l'oreille perçoit une couleur homogène. Cas archétypal : Basson (502) + Violoncelle (499) = Δ=3 Hz.</w:t>
      </w:r>
    </w:p>
    <w:p>
      <w:pPr>
        <w:pStyle w:val="Heading3"/>
      </w:pPr>
      <w:r>
        <w:rPr>
          <w:color w:val="4A148C"/>
        </w:rPr>
        <w:t>2. Complémentarité spectrale (enrichissement)</w:t>
      </w:r>
    </w:p>
    <w:p>
      <w:r>
        <w:rPr>
          <w:b w:val="0"/>
          <w:i w:val="0"/>
          <w:sz w:val="20"/>
        </w:rPr>
        <w:t>Quand deux instruments ont des F1 très différents, ils s'enrichissent mutuellement en couvrant des zones vocaliques complémentaires. Exemple : Flûte (/e/) + Cor anglais (/o/) = timbre bois large bande.</w:t>
      </w:r>
    </w:p>
    <w:p>
      <w:pPr>
        <w:pStyle w:val="Heading3"/>
      </w:pPr>
      <w:r>
        <w:rPr>
          <w:color w:val="4A148C"/>
        </w:rPr>
        <w:t>3. Effet de section (compression formantique)</w:t>
      </w:r>
    </w:p>
    <w:p>
      <w:r>
        <w:rPr>
          <w:b w:val="0"/>
          <w:i w:val="0"/>
          <w:sz w:val="20"/>
        </w:rPr>
        <w:t>Les cordes en ensemble développent un F1 collectif significativement plus haut qu'en solo (Violon solo: 506 Hz → Ensemble: 1 556 Hz). Cet effet de section est un paramètre d'orchestration distinct du solo.</w:t>
      </w:r>
    </w:p>
    <w:p>
      <w:pPr>
        <w:pStyle w:val="Heading3"/>
      </w:pPr>
      <w:r>
        <w:rPr>
          <w:color w:val="4A148C"/>
        </w:rPr>
        <w:t>4. La sourdine comme transposition timbrale</w:t>
      </w:r>
    </w:p>
    <w:p>
      <w:r>
        <w:rPr>
          <w:b w:val="0"/>
          <w:i w:val="0"/>
          <w:sz w:val="20"/>
        </w:rPr>
        <w:t>L'effet de la sourdine sur le spectre formantique est prévisible par type, mais non uniforme entre familles. L'affirmation intuitive d'un « abaissement systématique du F1 » ne résiste pas aux données. Cordes : la sourdine abaisse systématiquement le F1 de 6 à 40 %, déplaçant le timbre d'une zone vocalique vers le grave. La sourdine piombo (lourde) produit un effet toujours plus marqué que la sourdine ordinaire. Exemples mesurés : Violon ordinario F1=506 Hz → sourdine −28 % (366 Hz) → piombo −32 % (344 Hz) ; Alto −9 % / −40 % ; Ens. violons −28 %. Cuivres — l'effet dépend entièrement du type de sourdine : Cor (sourdine ordinaire) : légère baisse −11 % (388 → 344 Hz) — seul cuivre qui suit le schéma des cordes. Straight : variation faible (Trombone −5 %, Trompette +40 %) — effet neutre à modéré. Wah ouvert : légère baisse (Trombone −5 %, Trompette −29 %). Wah fermé : effet inverse — F1 monte (Trombone +68 %, Trompette −26 %). Cup : F1 monte significativement — la sourdine filtre les graves et propulse l'énergie vers le medium (Trombone +54 %, Trompette +84 %). Harmon : déplacement extrême et opposé selon l'instrument : Trompette +200 % (786 → 2 358 Hz, zone /i/) ; Trombone −32 % (237 → 162 Hz). Tuba basse : aucun effet mesurable (Δ=0 Hz). Conclusion : la transposition timbrale vers le grave est valide pour les cordes et le cor. Pour les cuivres, les sourdines cup et harmon produisent l'effet opposé — une transposition vers l'aigu, parfois extrême. La sourdine harmon trompette est le cas le plus spectaculaire du corpus : elle déplace le F1 de la zone /a/ à la zone /i/, soit un saut de deux voyelles vers l'aigu.</w:t>
      </w:r>
    </w:p>
    <w:p>
      <w:pPr>
        <w:pStyle w:val="Heading3"/>
      </w:pPr>
      <w:r>
        <w:rPr>
          <w:color w:val="4A148C"/>
        </w:rPr>
        <w:t>5. Familles formantiques transversales</w:t>
      </w:r>
    </w:p>
    <w:p>
      <w:r>
        <w:rPr>
          <w:b w:val="0"/>
          <w:i w:val="0"/>
          <w:sz w:val="20"/>
        </w:rPr>
        <w:t>Le cluster /o/ (450–502 Hz) réunit des instruments de trois familles différentes (Bois, Cuivres, Cordes), créant une famille acoustique transversale plus pertinente que les familles traditionnelles pour prédire les fusions timbrales.</w:t>
      </w:r>
    </w:p>
    <w:p>
      <w:pPr>
        <w:pStyle w:val="Heading3"/>
      </w:pPr>
      <w:r>
        <w:rPr>
          <w:color w:val="4A148C"/>
        </w:rPr>
        <w:t>6. Masquage évité</w:t>
      </w:r>
    </w:p>
    <w:p>
      <w:r>
        <w:rPr>
          <w:b w:val="0"/>
          <w:i w:val="0"/>
          <w:sz w:val="20"/>
        </w:rPr>
        <w:t>Placer deux instruments dans la même zone vocalique sans convergence formantique (Δ = 80–200 Hz) peut créer du masquage spectral — l'un couvre l'autre. La divergence intentionnelle (Δ &gt; 300 Hz) garantit la lisibilité timbrale de chaque voix.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