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628083"/>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628083"/>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3" name="Picture 3"/>
            <wp:cNvGraphicFramePr>
              <a:graphicFrameLocks noChangeAspect="1"/>
            </wp:cNvGraphicFramePr>
            <a:graphic>
              <a:graphicData uri="http://schemas.openxmlformats.org/drawingml/2006/picture">
                <pic:pic>
                  <pic:nvPicPr>
                    <pic:cNvPr id="0" name="synthese_fig3_cluster.png"/>
                    <pic:cNvPicPr/>
                  </pic:nvPicPr>
                  <pic:blipFill>
                    <a:blip r:embed="rId11"/>
                    <a:stretch>
                      <a:fillRect/>
                    </a:stretch>
                  </pic:blipFill>
                  <pic:spPr>
                    <a:xfrm>
                      <a:off x="0" y="0"/>
                      <a:ext cx="5943600" cy="2759529"/>
                    </a:xfrm>
                    <a:prstGeom prst="rect"/>
                  </pic:spPr>
                </pic:pic>
              </a:graphicData>
            </a:graphic>
          </wp:inline>
        </w:drawing>
      </w:r>
    </w:p>
    <w:p/>
    <w:p>
      <w:pPr>
        <w:pStyle w:val="Heading2"/>
      </w:pPr>
      <w:r>
        <w:rPr>
          <w:color w:val="B71C1C"/>
        </w:rPr>
        <w:t>Le Cluster de Convergence 450–502 Hz</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synthese_cluster.png"/>
                    <pic:cNvPicPr/>
                  </pic:nvPicPr>
                  <pic:blipFill>
                    <a:blip r:embed="rId12"/>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Violoncelle</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47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457</w:t>
            </w:r>
          </w:p>
        </w:tc>
        <w:tc>
          <w:tcPr>
            <w:tcW w:type="dxa" w:w="850"/>
          </w:tcPr>
          <w:p>
            <w:pPr>
              <w:jc w:val="center"/>
            </w:pPr>
            <w:r/>
            <w:r>
              <w:rPr>
                <w:b w:val="0"/>
                <w:sz w:val="18"/>
              </w:rPr>
              <w:t>/o/</w:t>
            </w:r>
          </w:p>
        </w:tc>
        <w:tc>
          <w:tcPr>
            <w:tcW w:type="dxa" w:w="1134"/>
          </w:tcPr>
          <w:p>
            <w:pPr>
              <w:jc w:val="center"/>
            </w:pPr>
            <w:r/>
            <w:r>
              <w:rPr>
                <w:b w:val="0"/>
                <w:sz w:val="18"/>
              </w:rPr>
              <w:t>42 Hz</w:t>
            </w:r>
          </w:p>
        </w:tc>
      </w:tr>
      <w:tr>
        <w:tc>
          <w:tcPr>
            <w:tcW w:type="dxa" w:w="1701"/>
          </w:tcPr>
          <w:p>
            <w:pPr>
              <w:jc w:val="center"/>
            </w:pPr>
            <w:r/>
            <w:r>
              <w:rPr>
                <w:b/>
                <w:sz w:val="18"/>
              </w:rPr>
              <w:t>Tuba contrebasse</w:t>
            </w:r>
          </w:p>
        </w:tc>
        <w:tc>
          <w:tcPr>
            <w:tcW w:type="dxa" w:w="1134"/>
          </w:tcPr>
          <w:p>
            <w:pPr>
              <w:jc w:val="center"/>
            </w:pPr>
            <w:r/>
            <w:r>
              <w:rPr>
                <w:b w:val="0"/>
                <w:sz w:val="18"/>
              </w:rPr>
              <w:t>Cuivres</w:t>
            </w:r>
          </w:p>
        </w:tc>
        <w:tc>
          <w:tcPr>
            <w:tcW w:type="dxa" w:w="850"/>
          </w:tcPr>
          <w:p>
            <w:pPr>
              <w:jc w:val="center"/>
            </w:pPr>
            <w:r/>
            <w:r>
              <w:rPr>
                <w:b w:val="0"/>
                <w:sz w:val="18"/>
              </w:rPr>
              <w:t>471</w:t>
            </w:r>
          </w:p>
        </w:tc>
        <w:tc>
          <w:tcPr>
            <w:tcW w:type="dxa" w:w="850"/>
          </w:tcPr>
          <w:p>
            <w:pPr>
              <w:jc w:val="center"/>
            </w:pPr>
            <w:r/>
            <w:r>
              <w:rPr>
                <w:b w:val="0"/>
                <w:sz w:val="18"/>
              </w:rPr>
              <w:t>/o/</w:t>
            </w:r>
          </w:p>
        </w:tc>
        <w:tc>
          <w:tcPr>
            <w:tcW w:type="dxa" w:w="1134"/>
          </w:tcPr>
          <w:p>
            <w:pPr>
              <w:jc w:val="center"/>
            </w:pPr>
            <w:r/>
            <w:r>
              <w:rPr>
                <w:b w:val="0"/>
                <w:sz w:val="18"/>
              </w:rPr>
              <w:t>28 Hz</w:t>
            </w:r>
          </w:p>
        </w:tc>
      </w:tr>
      <w:tr>
        <w:tc>
          <w:tcPr>
            <w:tcW w:type="dxa" w:w="1701"/>
          </w:tcPr>
          <w:p>
            <w:pPr>
              <w:jc w:val="center"/>
            </w:pPr>
            <w:r/>
            <w:r>
              <w:rPr>
                <w:b/>
                <w:sz w:val="18"/>
              </w:rPr>
              <w:t>Trombone</w:t>
            </w:r>
          </w:p>
        </w:tc>
        <w:tc>
          <w:tcPr>
            <w:tcW w:type="dxa" w:w="1134"/>
          </w:tcPr>
          <w:p>
            <w:pPr>
              <w:jc w:val="center"/>
            </w:pPr>
            <w:r/>
            <w:r>
              <w:rPr>
                <w:b w:val="0"/>
                <w:sz w:val="18"/>
              </w:rPr>
              <w:t>Cuivres</w:t>
            </w:r>
          </w:p>
        </w:tc>
        <w:tc>
          <w:tcPr>
            <w:tcW w:type="dxa" w:w="850"/>
          </w:tcPr>
          <w:p>
            <w:pPr>
              <w:jc w:val="center"/>
            </w:pPr>
            <w:r/>
            <w:r>
              <w:rPr>
                <w:b w:val="0"/>
                <w:sz w:val="18"/>
              </w:rPr>
              <w:t>491</w:t>
            </w:r>
          </w:p>
        </w:tc>
        <w:tc>
          <w:tcPr>
            <w:tcW w:type="dxa" w:w="850"/>
          </w:tcPr>
          <w:p>
            <w:pPr>
              <w:jc w:val="center"/>
            </w:pPr>
            <w:r/>
            <w:r>
              <w:rPr>
                <w:b w:val="0"/>
                <w:sz w:val="18"/>
              </w:rPr>
              <w:t>/o/</w:t>
            </w:r>
          </w:p>
        </w:tc>
        <w:tc>
          <w:tcPr>
            <w:tcW w:type="dxa" w:w="1134"/>
          </w:tcPr>
          <w:p>
            <w:pPr>
              <w:jc w:val="center"/>
            </w:pPr>
            <w:r/>
            <w:r>
              <w:rPr>
                <w:b w:val="0"/>
                <w:sz w:val="18"/>
              </w:rPr>
              <w:t>8 Hz</w:t>
            </w:r>
          </w:p>
        </w:tc>
      </w:tr>
      <w:tr>
        <w:tc>
          <w:tcPr>
            <w:tcW w:type="dxa" w:w="1701"/>
            <w:shd w:fill="D5F5E3"/>
          </w:tcPr>
          <w:p>
            <w:pPr>
              <w:jc w:val="center"/>
            </w:pPr>
            <w:r/>
            <w:r>
              <w:rPr>
                <w:b/>
                <w:sz w:val="18"/>
              </w:rPr>
              <w:t>Violoncelle</w:t>
            </w:r>
          </w:p>
        </w:tc>
        <w:tc>
          <w:tcPr>
            <w:tcW w:type="dxa" w:w="1134"/>
            <w:shd w:fill="D5F5E3"/>
          </w:tcPr>
          <w:p>
            <w:pPr>
              <w:jc w:val="center"/>
            </w:pPr>
            <w:r/>
            <w:r>
              <w:rPr>
                <w:b w:val="0"/>
                <w:sz w:val="18"/>
              </w:rPr>
              <w:t>Cordes</w:t>
            </w:r>
          </w:p>
        </w:tc>
        <w:tc>
          <w:tcPr>
            <w:tcW w:type="dxa" w:w="850"/>
            <w:shd w:fill="D5F5E3"/>
          </w:tcPr>
          <w:p>
            <w:pPr>
              <w:jc w:val="center"/>
            </w:pPr>
            <w:r/>
            <w:r>
              <w:rPr>
                <w:b w:val="0"/>
                <w:sz w:val="18"/>
              </w:rPr>
              <w:t>499</w:t>
            </w:r>
          </w:p>
        </w:tc>
        <w:tc>
          <w:tcPr>
            <w:tcW w:type="dxa" w:w="850"/>
            <w:shd w:fill="D5F5E3"/>
          </w:tcPr>
          <w:p>
            <w:pPr>
              <w:jc w:val="center"/>
            </w:pPr>
            <w:r/>
            <w:r>
              <w:rPr>
                <w:b w:val="0"/>
                <w:sz w:val="18"/>
              </w:rPr>
              <w:t>/o/</w:t>
            </w:r>
          </w:p>
        </w:tc>
        <w:tc>
          <w:tcPr>
            <w:tcW w:type="dxa" w:w="1134"/>
            <w:shd w:fill="D5F5E3"/>
          </w:tcPr>
          <w:p>
            <w:pPr>
              <w:jc w:val="center"/>
            </w:pPr>
            <w:r/>
            <w:r>
              <w:rPr>
                <w:b w:val="0"/>
                <w:sz w:val="18"/>
              </w:rPr>
              <w:t>—</w:t>
            </w:r>
          </w:p>
        </w:tc>
      </w:tr>
      <w:tr>
        <w:tc>
          <w:tcPr>
            <w:tcW w:type="dxa" w:w="1701"/>
            <w:shd w:fill="D5F5E3"/>
          </w:tcPr>
          <w:p>
            <w:pPr>
              <w:jc w:val="center"/>
            </w:pPr>
            <w:r/>
            <w:r>
              <w:rPr>
                <w:b/>
                <w:sz w:val="18"/>
              </w:rPr>
              <w:t>Basson</w:t>
            </w:r>
          </w:p>
        </w:tc>
        <w:tc>
          <w:tcPr>
            <w:tcW w:type="dxa" w:w="1134"/>
            <w:shd w:fill="D5F5E3"/>
          </w:tcPr>
          <w:p>
            <w:pPr>
              <w:jc w:val="center"/>
            </w:pPr>
            <w:r/>
            <w:r>
              <w:rPr>
                <w:b w:val="0"/>
                <w:sz w:val="18"/>
              </w:rPr>
              <w:t>Bois</w:t>
            </w:r>
          </w:p>
        </w:tc>
        <w:tc>
          <w:tcPr>
            <w:tcW w:type="dxa" w:w="850"/>
            <w:shd w:fill="D5F5E3"/>
          </w:tcPr>
          <w:p>
            <w:pPr>
              <w:jc w:val="center"/>
            </w:pPr>
            <w:r/>
            <w:r>
              <w:rPr>
                <w:b w:val="0"/>
                <w:sz w:val="18"/>
              </w:rPr>
              <w:t>502</w:t>
            </w:r>
          </w:p>
        </w:tc>
        <w:tc>
          <w:tcPr>
            <w:tcW w:type="dxa" w:w="850"/>
            <w:shd w:fill="D5F5E3"/>
          </w:tcPr>
          <w:p>
            <w:pPr>
              <w:jc w:val="center"/>
            </w:pPr>
            <w:r/>
            <w:r>
              <w:rPr>
                <w:b w:val="0"/>
                <w:sz w:val="18"/>
              </w:rPr>
              <w:t>/o/</w:t>
            </w:r>
          </w:p>
        </w:tc>
        <w:tc>
          <w:tcPr>
            <w:tcW w:type="dxa" w:w="1134"/>
            <w:shd w:fill="D5F5E3"/>
          </w:tcPr>
          <w:p>
            <w:pPr>
              <w:jc w:val="center"/>
            </w:pPr>
            <w:r/>
            <w:r>
              <w:rPr>
                <w:b w:val="0"/>
                <w:sz w:val="18"/>
              </w:rPr>
              <w:t>3 Hz ★</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5" name="Picture 5"/>
            <wp:cNvGraphicFramePr>
              <a:graphicFrameLocks noChangeAspect="1"/>
            </wp:cNvGraphicFramePr>
            <a:graphic>
              <a:graphicData uri="http://schemas.openxmlformats.org/drawingml/2006/picture">
                <pic:pic>
                  <pic:nvPicPr>
                    <pic:cNvPr id="0" name="synthese_f1_base.png"/>
                    <pic:cNvPicPr/>
                  </pic:nvPicPr>
                  <pic:blipFill>
                    <a:blip r:embed="rId13"/>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6" name="Picture 6"/>
            <wp:cNvGraphicFramePr>
              <a:graphicFrameLocks noChangeAspect="1"/>
            </wp:cNvGraphicFramePr>
            <a:graphic>
              <a:graphicData uri="http://schemas.openxmlformats.org/drawingml/2006/picture">
                <pic:pic>
                  <pic:nvPicPr>
                    <pic:cNvPr id="0" name="synthese_matrix_base.png"/>
                    <pic:cNvPicPr/>
                  </pic:nvPicPr>
                  <pic:blipFill>
                    <a:blip r:embed="rId14"/>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7" name="Picture 7"/>
            <wp:cNvGraphicFramePr>
              <a:graphicFrameLocks noChangeAspect="1"/>
            </wp:cNvGraphicFramePr>
            <a:graphic>
              <a:graphicData uri="http://schemas.openxmlformats.org/drawingml/2006/picture">
                <pic:pic>
                  <pic:nvPicPr>
                    <pic:cNvPr id="0" name="synthese_matrix_full.png"/>
                    <pic:cNvPicPr/>
                  </pic:nvPicPr>
                  <pic:blipFill>
                    <a:blip r:embed="rId15"/>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6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 unisson formantique : Flûte (743) + Hautbois (743) ; Tuba contrebasse + Contrebasson + Tuba basse (tous à 226 Hz) — trois familles, une seule couleur. Δ ≤ 30 Hz — fusion quasi-parfaite : Basson (495) + Violoncelle (205) Δ=11 Hz ; Cor (388) + Alto (377) Δ=11 Hz ; Trombone (237) + Tuba basse (226) Δ=11 Hz ; Trombone (237) + Trombone basse (258) Δ=21 Hz. Δ 30–80 Hz — fusion efficace : Cor anglais (452) + Clarinette Sib (463) Δ=11 Hz.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 (400–600 Hz) — Plénitude : Cor anglais (452), Cor (388 Hz, Fp), Trombone (491 Hz, Fp), Violoncelle (495), Basson (495), Saxophone alto (398). C'est le cluster de convergence — la famille acoustique la plus documentée du corpus, réunissant bois, cuivres et cordes.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Violoncelle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