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D1E086">
      <w:pPr>
        <w:pBdr>
          <w:top w:val="none" w:color="000000" w:sz="4" w:space="0"/>
          <w:left w:val="none" w:color="000000" w:sz="4" w:space="0"/>
          <w:bottom w:val="none" w:color="000000" w:sz="4" w:space="0"/>
          <w:right w:val="none" w:color="000000" w:sz="4" w:space="0"/>
        </w:pBdr>
        <w:spacing/>
        <w:ind w:right="0" w:firstLine="0" w:left="0"/>
        <w:rPr/>
      </w:pPr>
      <w:r>
        <w:t xml:space="preserve">Parfait, option 2 — colonne Fp. Je lance l'analyse de multimodalité sur ce que j'ai, et je prépare le terrain pour les autres instruments.Quatre instruments flaggés. Analysons la multimodalité en profondeur sur le violon (seul instrument dont j'ai les spec</w:t>
      </w:r>
      <w:r>
        <w:t xml:space="preserve">env), et préparons la méthodologie Fp :Résultat fascinant ! Le pattern par registre est contre-intuitif mais physiquement logique. Affinons la définition de Fp :Yan, le résultat est remarquable.</w:t>
      </w:r>
      <w:r/>
    </w:p>
    <w:p w14:paraId="509C91FD">
      <w:pPr>
        <w:pBdr>
          <w:top w:val="none" w:color="000000" w:sz="4" w:space="0"/>
          <w:left w:val="none" w:color="000000" w:sz="4" w:space="0"/>
          <w:bottom w:val="none" w:color="000000" w:sz="4" w:space="0"/>
          <w:right w:val="none" w:color="000000" w:sz="4" w:space="0"/>
        </w:pBdr>
        <w:spacing/>
        <w:ind w:right="0" w:firstLine="0" w:left="0"/>
        <w:rPr/>
      </w:pPr>
      <w:r>
        <w:t xml:space="preserve">Fp violon = 893 Hz (centroïde spectral pondéré en énergie, bande 600–1400 Hz)</w:t>
      </w:r>
      <w:r/>
    </w:p>
    <w:p w14:paraId="717BBE10">
      <w:pPr>
        <w:pBdr>
          <w:top w:val="none" w:color="000000" w:sz="4" w:space="0"/>
          <w:left w:val="none" w:color="000000" w:sz="4" w:space="0"/>
          <w:bottom w:val="none" w:color="000000" w:sz="4" w:space="0"/>
          <w:right w:val="none" w:color="000000" w:sz="4" w:space="0"/>
        </w:pBdr>
        <w:spacing/>
        <w:ind w:right="0" w:firstLine="0" w:left="0"/>
        <w:rPr/>
      </w:pPr>
      <w:r>
        <w:t xml:space="preserve">Ce qui est frappant, c'est la stabilité : σ = 92 Hz seulement, sur 5 registres couvrant 4 octaves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59"/>
        <w:gridCol w:w="1207"/>
      </w:tblGrid>
      <w:tr>
        <w:trPr/>
        <w:tc>
          <w:tcPr>
            <w:tcBorders/>
            <w:tcMar>
              <w:left w:w="15" w:type="dxa"/>
              <w:top w:w="15" w:type="dxa"/>
              <w:right w:w="15" w:type="dxa"/>
              <w:bottom w:w="15" w:type="dxa"/>
            </w:tcMar>
            <w:tcW w:w="1459" w:type="dxa"/>
            <w:vAlign w:val="center"/>
          </w:tcPr>
          <w:p w14:paraId="54C56A81">
            <w:pPr>
              <w:pBdr/>
              <w:spacing w:after="0" w:before="0" w:line="240"/>
              <w:ind/>
              <w:jc w:val="center"/>
              <w:rPr/>
            </w:pPr>
            <w:r>
              <w:rPr>
                <w:rFonts w:ascii="Times" w:hAnsi="Times" w:eastAsia="Times" w:cs="Times"/>
                <w:b/>
                <w:color w:val="000000"/>
                <w:sz w:val="24"/>
              </w:rPr>
              <w:t xml:space="preserve">Registre</w:t>
            </w:r>
            <w:r/>
          </w:p>
        </w:tc>
        <w:tc>
          <w:tcPr>
            <w:tcBorders/>
            <w:tcMar>
              <w:left w:w="15" w:type="dxa"/>
              <w:top w:w="15" w:type="dxa"/>
              <w:right w:w="15" w:type="dxa"/>
              <w:bottom w:w="15" w:type="dxa"/>
            </w:tcMar>
            <w:tcW w:w="1207" w:type="dxa"/>
            <w:vAlign w:val="center"/>
          </w:tcPr>
          <w:p w14:paraId="4BE30F79">
            <w:pPr>
              <w:pBdr/>
              <w:spacing w:after="0" w:before="0" w:line="240"/>
              <w:ind/>
              <w:jc w:val="center"/>
              <w:rPr/>
            </w:pPr>
            <w:r>
              <w:rPr>
                <w:rFonts w:ascii="Times" w:hAnsi="Times" w:eastAsia="Times" w:cs="Times"/>
                <w:b/>
                <w:color w:val="000000"/>
                <w:sz w:val="24"/>
              </w:rPr>
              <w:t xml:space="preserve">Fp médiane</w:t>
            </w:r>
            <w:r/>
          </w:p>
        </w:tc>
      </w:tr>
      <w:tr>
        <w:trPr/>
        <w:tc>
          <w:tcPr>
            <w:tcBorders/>
            <w:tcMar>
              <w:left w:w="15" w:type="dxa"/>
              <w:top w:w="15" w:type="dxa"/>
              <w:right w:w="15" w:type="dxa"/>
              <w:bottom w:w="15" w:type="dxa"/>
            </w:tcMar>
            <w:tcW w:w="1459" w:type="dxa"/>
            <w:vAlign w:val="center"/>
          </w:tcPr>
          <w:p w14:paraId="230E83C6">
            <w:pPr>
              <w:pBdr/>
              <w:spacing w:after="0" w:before="0" w:line="240"/>
              <w:ind/>
              <w:rPr/>
            </w:pPr>
            <w:r>
              <w:rPr>
                <w:rFonts w:ascii="Times" w:hAnsi="Times" w:eastAsia="Times" w:cs="Times"/>
                <w:color w:val="000000"/>
                <w:sz w:val="24"/>
              </w:rPr>
              <w:t xml:space="preserve">G3–D4 (grave)</w:t>
            </w:r>
            <w:r/>
          </w:p>
        </w:tc>
        <w:tc>
          <w:tcPr>
            <w:tcBorders/>
            <w:tcMar>
              <w:left w:w="15" w:type="dxa"/>
              <w:top w:w="15" w:type="dxa"/>
              <w:right w:w="15" w:type="dxa"/>
              <w:bottom w:w="15" w:type="dxa"/>
            </w:tcMar>
            <w:tcW w:w="1207" w:type="dxa"/>
            <w:vAlign w:val="center"/>
          </w:tcPr>
          <w:p w14:paraId="6B984AE5">
            <w:pPr>
              <w:pBdr/>
              <w:spacing w:after="0" w:before="0" w:line="240"/>
              <w:ind/>
              <w:rPr/>
            </w:pPr>
            <w:r>
              <w:rPr>
                <w:rFonts w:ascii="Times" w:hAnsi="Times" w:eastAsia="Times" w:cs="Times"/>
                <w:color w:val="000000"/>
                <w:sz w:val="24"/>
              </w:rPr>
              <w:t xml:space="preserve">872 Hz</w:t>
            </w:r>
            <w:r/>
          </w:p>
        </w:tc>
      </w:tr>
      <w:tr>
        <w:trPr/>
        <w:tc>
          <w:tcPr>
            <w:tcBorders/>
            <w:tcMar>
              <w:left w:w="15" w:type="dxa"/>
              <w:top w:w="15" w:type="dxa"/>
              <w:right w:w="15" w:type="dxa"/>
              <w:bottom w:w="15" w:type="dxa"/>
            </w:tcMar>
            <w:tcW w:w="1459" w:type="dxa"/>
            <w:vAlign w:val="center"/>
          </w:tcPr>
          <w:p w14:paraId="200DE90D">
            <w:pPr>
              <w:pBdr/>
              <w:spacing w:after="0" w:before="0" w:line="240"/>
              <w:ind/>
              <w:rPr/>
            </w:pPr>
            <w:r>
              <w:rPr>
                <w:rFonts w:ascii="Times" w:hAnsi="Times" w:eastAsia="Times" w:cs="Times"/>
                <w:color w:val="000000"/>
                <w:sz w:val="24"/>
              </w:rPr>
              <w:t xml:space="preserve">D#4–A4</w:t>
            </w:r>
            <w:r/>
          </w:p>
        </w:tc>
        <w:tc>
          <w:tcPr>
            <w:tcBorders/>
            <w:tcMar>
              <w:left w:w="15" w:type="dxa"/>
              <w:top w:w="15" w:type="dxa"/>
              <w:right w:w="15" w:type="dxa"/>
              <w:bottom w:w="15" w:type="dxa"/>
            </w:tcMar>
            <w:tcW w:w="1207" w:type="dxa"/>
            <w:vAlign w:val="center"/>
          </w:tcPr>
          <w:p w14:paraId="32630CE5">
            <w:pPr>
              <w:pBdr/>
              <w:spacing w:after="0" w:before="0" w:line="240"/>
              <w:ind/>
              <w:rPr/>
            </w:pPr>
            <w:r>
              <w:rPr>
                <w:rFonts w:ascii="Times" w:hAnsi="Times" w:eastAsia="Times" w:cs="Times"/>
                <w:color w:val="000000"/>
                <w:sz w:val="24"/>
              </w:rPr>
              <w:t xml:space="preserve">894 Hz</w:t>
            </w:r>
            <w:r/>
          </w:p>
        </w:tc>
      </w:tr>
      <w:tr>
        <w:trPr/>
        <w:tc>
          <w:tcPr>
            <w:tcBorders/>
            <w:tcMar>
              <w:left w:w="15" w:type="dxa"/>
              <w:top w:w="15" w:type="dxa"/>
              <w:right w:w="15" w:type="dxa"/>
              <w:bottom w:w="15" w:type="dxa"/>
            </w:tcMar>
            <w:tcW w:w="1459" w:type="dxa"/>
            <w:vAlign w:val="center"/>
          </w:tcPr>
          <w:p w14:paraId="6090C990">
            <w:pPr>
              <w:pBdr/>
              <w:spacing w:after="0" w:before="0" w:line="240"/>
              <w:ind/>
              <w:rPr/>
            </w:pPr>
            <w:r>
              <w:rPr>
                <w:rFonts w:ascii="Times" w:hAnsi="Times" w:eastAsia="Times" w:cs="Times"/>
                <w:color w:val="000000"/>
                <w:sz w:val="24"/>
              </w:rPr>
              <w:t xml:space="preserve">A#4–E5</w:t>
            </w:r>
            <w:r/>
          </w:p>
        </w:tc>
        <w:tc>
          <w:tcPr>
            <w:tcBorders/>
            <w:tcMar>
              <w:left w:w="15" w:type="dxa"/>
              <w:top w:w="15" w:type="dxa"/>
              <w:right w:w="15" w:type="dxa"/>
              <w:bottom w:w="15" w:type="dxa"/>
            </w:tcMar>
            <w:tcW w:w="1207" w:type="dxa"/>
            <w:vAlign w:val="center"/>
          </w:tcPr>
          <w:p w14:paraId="66D79996">
            <w:pPr>
              <w:pBdr/>
              <w:spacing w:after="0" w:before="0" w:line="240"/>
              <w:ind/>
              <w:rPr/>
            </w:pPr>
            <w:r>
              <w:rPr>
                <w:rFonts w:ascii="Times" w:hAnsi="Times" w:eastAsia="Times" w:cs="Times"/>
                <w:color w:val="000000"/>
                <w:sz w:val="24"/>
              </w:rPr>
              <w:t xml:space="preserve">854 Hz</w:t>
            </w:r>
            <w:r/>
          </w:p>
        </w:tc>
      </w:tr>
      <w:tr>
        <w:trPr/>
        <w:tc>
          <w:tcPr>
            <w:tcBorders/>
            <w:tcMar>
              <w:left w:w="15" w:type="dxa"/>
              <w:top w:w="15" w:type="dxa"/>
              <w:right w:w="15" w:type="dxa"/>
              <w:bottom w:w="15" w:type="dxa"/>
            </w:tcMar>
            <w:tcW w:w="1459" w:type="dxa"/>
            <w:vAlign w:val="center"/>
          </w:tcPr>
          <w:p w14:paraId="643C8759">
            <w:pPr>
              <w:pBdr/>
              <w:spacing w:after="0" w:before="0" w:line="240"/>
              <w:ind/>
              <w:rPr/>
            </w:pPr>
            <w:r>
              <w:rPr>
                <w:rFonts w:ascii="Times" w:hAnsi="Times" w:eastAsia="Times" w:cs="Times"/>
                <w:color w:val="000000"/>
                <w:sz w:val="24"/>
              </w:rPr>
              <w:t xml:space="preserve">F5–B5</w:t>
            </w:r>
            <w:r/>
          </w:p>
        </w:tc>
        <w:tc>
          <w:tcPr>
            <w:tcBorders/>
            <w:tcMar>
              <w:left w:w="15" w:type="dxa"/>
              <w:top w:w="15" w:type="dxa"/>
              <w:right w:w="15" w:type="dxa"/>
              <w:bottom w:w="15" w:type="dxa"/>
            </w:tcMar>
            <w:tcW w:w="1207" w:type="dxa"/>
            <w:vAlign w:val="center"/>
          </w:tcPr>
          <w:p w14:paraId="1960FED6">
            <w:pPr>
              <w:pBdr/>
              <w:spacing w:after="0" w:before="0" w:line="240"/>
              <w:ind/>
              <w:rPr/>
            </w:pPr>
            <w:r>
              <w:rPr>
                <w:rFonts w:ascii="Times" w:hAnsi="Times" w:eastAsia="Times" w:cs="Times"/>
                <w:color w:val="000000"/>
                <w:sz w:val="24"/>
              </w:rPr>
              <w:t xml:space="preserve">842 Hz</w:t>
            </w:r>
            <w:r/>
          </w:p>
        </w:tc>
      </w:tr>
      <w:tr>
        <w:trPr/>
        <w:tc>
          <w:tcPr>
            <w:tcBorders/>
            <w:tcMar>
              <w:left w:w="15" w:type="dxa"/>
              <w:top w:w="15" w:type="dxa"/>
              <w:right w:w="15" w:type="dxa"/>
              <w:bottom w:w="15" w:type="dxa"/>
            </w:tcMar>
            <w:tcW w:w="1459" w:type="dxa"/>
            <w:vAlign w:val="center"/>
          </w:tcPr>
          <w:p w14:paraId="6DF81FAC">
            <w:pPr>
              <w:pBdr/>
              <w:spacing w:after="0" w:before="0" w:line="240"/>
              <w:ind/>
              <w:rPr/>
            </w:pPr>
            <w:r>
              <w:rPr>
                <w:rFonts w:ascii="Times" w:hAnsi="Times" w:eastAsia="Times" w:cs="Times"/>
                <w:color w:val="000000"/>
                <w:sz w:val="24"/>
              </w:rPr>
              <w:t xml:space="preserve">C6–E7 (aigu)</w:t>
            </w:r>
            <w:r/>
          </w:p>
        </w:tc>
        <w:tc>
          <w:tcPr>
            <w:tcBorders/>
            <w:tcMar>
              <w:left w:w="15" w:type="dxa"/>
              <w:top w:w="15" w:type="dxa"/>
              <w:right w:w="15" w:type="dxa"/>
              <w:bottom w:w="15" w:type="dxa"/>
            </w:tcMar>
            <w:tcW w:w="1207" w:type="dxa"/>
            <w:vAlign w:val="center"/>
          </w:tcPr>
          <w:p w14:paraId="3916F999">
            <w:pPr>
              <w:pBdr/>
              <w:spacing w:after="0" w:before="0" w:line="240"/>
              <w:ind/>
              <w:rPr/>
            </w:pPr>
            <w:r>
              <w:rPr>
                <w:rFonts w:ascii="Times" w:hAnsi="Times" w:eastAsia="Times" w:cs="Times"/>
                <w:color w:val="000000"/>
                <w:sz w:val="24"/>
              </w:rPr>
              <w:t xml:space="preserve">949 Hz</w:t>
            </w:r>
            <w:r/>
          </w:p>
        </w:tc>
      </w:tr>
    </w:tbl>
    <w:p w14:paraId="3489AD32">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szCs w:val="24"/>
        </w:rPr>
      </w:pPr>
      <w:r>
        <w:rPr>
          <w:highlight w:val="none"/>
        </w:rPr>
      </w:r>
      <w:r>
        <w:rPr>
          <w:highlight w:val="none"/>
        </w:rPr>
      </w:r>
      <w:r>
        <w:rPr>
          <w:highlight w:val="none"/>
        </w:rPr>
      </w:r>
    </w:p>
    <w:p w14:paraId="29B85D11">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Alors que F2 (peak-picking) varie de 937 à 1938 Hz selon le registre. Fp tombe en plein dans la zone Meyer 800–1200 Hz, voyelle /a/ — exactement le Hauptformant que Meyer qualifie de "particularly characteristic for the violin sound". C'est la signature de</w:t>
      </w:r>
      <w:r>
        <w:t xml:space="preserve"> la caisse de résonance, indépendante de la note jouée.</w:t>
      </w:r>
      <w:r/>
    </w:p>
    <w:p w14:paraId="6918F2F3">
      <w:pPr>
        <w:pBdr>
          <w:top w:val="none" w:color="000000" w:sz="4" w:space="0"/>
          <w:left w:val="none" w:color="000000" w:sz="4" w:space="0"/>
          <w:bottom w:val="none" w:color="000000" w:sz="4" w:space="0"/>
          <w:right w:val="none" w:color="000000" w:sz="4" w:space="0"/>
        </w:pBdr>
        <w:spacing/>
        <w:ind w:right="0" w:firstLine="0" w:left="0"/>
        <w:rPr/>
      </w:pPr>
      <w:r>
        <w:t xml:space="preserve">La méthode centroïde de bande fonctionne là où le peak-picking échoue, parce que la résonance de caisse du violon est un plateau large (pas un pic étroit) — le centroïde en capture le centre de gravité énergétique.</w:t>
      </w:r>
      <w:r/>
    </w:p>
    <w:p w14:paraId="7F6B9F7F">
      <w:pPr>
        <w:pBdr>
          <w:top w:val="none" w:color="000000" w:sz="4" w:space="0"/>
          <w:left w:val="none" w:color="000000" w:sz="4" w:space="0"/>
          <w:bottom w:val="none" w:color="000000" w:sz="4" w:space="0"/>
          <w:right w:val="none" w:color="000000" w:sz="4" w:space="0"/>
        </w:pBdr>
        <w:spacing/>
        <w:ind w:right="0" w:firstLine="0" w:left="0"/>
        <w:rPr/>
      </w:pPr>
      <w:r>
        <w:t xml:space="preserve">Pour les 4 instruments flaggés, j'ai besoin des specenv pour confirmer :</w:t>
      </w:r>
      <w:r/>
    </w:p>
    <w:p w14:paraId="0E683930">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Violoncello — probablement un Fp nécessaire aussi (résonance de caisse large analogue au violon)</w:t>
      </w:r>
      <w:r/>
    </w:p>
    <w:p w14:paraId="63BC55C2">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Viola — à vérifier par analogie</w:t>
      </w:r>
      <w:r/>
    </w:p>
    <w:p w14:paraId="1063D7FE">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Oboe — F2=1260 est juste au-dessus de Meyer, peut-être OK</w:t>
      </w:r>
      <w:r/>
    </w:p>
    <w:p w14:paraId="120D64C3">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Clarinet_Bb — cas très intéressant (registres chalumeau/clairon très différents)</w:t>
      </w:r>
      <w:r/>
    </w:p>
    <w:p w14:paraId="3FE95A7B">
      <w:pPr>
        <w:pBdr>
          <w:top w:val="none" w:color="000000" w:sz="4" w:space="0"/>
          <w:left w:val="none" w:color="000000" w:sz="4" w:space="0"/>
          <w:bottom w:val="none" w:color="000000" w:sz="4" w:space="0"/>
          <w:right w:val="none" w:color="000000" w:sz="4" w:space="0"/>
        </w:pBdr>
        <w:spacing/>
        <w:ind w:right="0" w:firstLine="0" w:left="0"/>
        <w:rPr/>
      </w:pPr>
      <w:r>
        <w:t xml:space="preserve">Dès que tes splits sont prêts, on vérifie ces quatre instruments et on produit le document v7 avec la colonne Fp.</w:t>
      </w:r>
      <w:r/>
    </w:p>
    <w:p>
      <w:pPr>
        <w:pBdr/>
        <w:spacing/>
        <w:ind/>
        <w:rPr/>
      </w:pPr>
      <w:r>
        <mc:AlternateContent>
          <mc:Choice Requires="wpg">
            <w:drawing>
              <wp:inline xmlns:wp="http://schemas.openxmlformats.org/drawingml/2006/wordprocessingDrawing" distT="0" distB="0" distL="0" distR="0">
                <wp:extent cx="5940425" cy="454879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25816" name=""/>
                        <pic:cNvPicPr>
                          <a:picLocks noChangeAspect="1"/>
                        </pic:cNvPicPr>
                        <pic:nvPr/>
                      </pic:nvPicPr>
                      <pic:blipFill rotWithShape="1">
                        <a:blip r:embed="rId9"/>
                        <a:stretch/>
                      </pic:blipFill>
                      <pic:spPr bwMode="auto">
                        <a:xfrm>
                          <a:off x="0" y="0"/>
                          <a:ext cx="5940424" cy="4548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58.17pt;mso-wrap-distance-left:0.00pt;mso-wrap-distance-top:0.00pt;mso-wrap-distance-right:0.00pt;mso-wrap-distance-bottom:0.00pt;z-index:1;" stroked="false">
                <v:imagedata r:id="rId9" o:title=""/>
                <o:lock v:ext="edit" rotation="t"/>
              </v:shape>
            </w:pict>
          </mc:Fallback>
        </mc:AlternateContent>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26DF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2026-03-04T17:23:56Z</dcterms:modified>
</cp:coreProperties>
</file>