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237E"/>
        </w:rPr>
        <w:t>VII. Enveloppes spectrales par famille</w:t>
      </w:r>
    </w:p>
    <w:p>
      <w:pPr>
        <w:pStyle w:val="ListBullet"/>
      </w:pPr>
      <w:r>
        <w:t>Enveloppes spectrales moyennes calculées à partir des données specenv brutes.</w:t>
      </w:r>
    </w:p>
    <w:p>
      <w:pPr>
        <w:pStyle w:val="ListBullet"/>
      </w:pPr>
      <w:r>
        <w:t>Marqueurs rouges : F1–F4 ; ligne verte : Fp ; bande : ±1σ.</w:t>
      </w:r>
    </w:p>
    <w:p>
      <w:pPr>
        <w:pStyle w:val="Heading1"/>
      </w:pPr>
      <w:r>
        <w:t>Bois</w:t>
      </w:r>
    </w:p>
    <w:p>
      <w:r>
        <w:t>Les bois montrent la plus grande diversité de profils d'enveloppe, du piccolo à la flûte contrebasse.</w:t>
      </w:r>
    </w:p>
    <w:p>
      <w:r>
        <w:t>Instruments chargés : 13 / 13 — Échantillons : 1265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5191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eloppes_bo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191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Cuivres</w:t>
      </w:r>
    </w:p>
    <w:p>
      <w:r>
        <w:t>Les cuivres présentent des enveloppes plus concentrées, avec des zones d'énergie très lisibles dans le medium.</w:t>
      </w:r>
    </w:p>
    <w:p>
      <w:r>
        <w:t>Instruments chargés : 6 / 6 — Échantillons : 754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5291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eloppes_cuiv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529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Cordes</w:t>
      </w:r>
    </w:p>
    <w:p>
      <w:r>
        <w:t>Les cordes se distinguent par des plateaux spectraux et des résonances larges ; le repère Fp y est particulièrement utile.</w:t>
      </w:r>
    </w:p>
    <w:p>
      <w:r>
        <w:t>Instruments chargés : 8 / 8 — Échantillons : 1730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86948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eloppes_cord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694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Sources : exports specenv bruts SOL2020 + Yan_Adds-Divers.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