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778654"/>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778654"/>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2E7D32"/>
        </w:rPr>
        <w:t>Figure 2b — Espace vocalique F1/F2 en Bark</w:t>
      </w:r>
    </w:p>
    <w:p>
      <w:r>
        <w:rPr>
          <w:b w:val="0"/>
          <w:i/>
          <w:sz w:val="18"/>
        </w:rPr>
        <w:t>Même espace vocalique en échelle Bark (Traunmüller). Les distances perceptives sont plus homogènes : les instruments graves sont moins comprimés et le cluster /o/ est plus étalé.</w:t>
      </w:r>
    </w:p>
    <w:p>
      <w:pPr>
        <w:jc w:val="center"/>
      </w:pPr>
      <w:r>
        <w:drawing>
          <wp:inline xmlns:a="http://schemas.openxmlformats.org/drawingml/2006/main" xmlns:pic="http://schemas.openxmlformats.org/drawingml/2006/picture">
            <wp:extent cx="5943600" cy="4457700"/>
            <wp:docPr id="3" name="Picture 3"/>
            <wp:cNvGraphicFramePr>
              <a:graphicFrameLocks noChangeAspect="1"/>
            </wp:cNvGraphicFramePr>
            <a:graphic>
              <a:graphicData uri="http://schemas.openxmlformats.org/drawingml/2006/picture">
                <pic:pic>
                  <pic:nvPicPr>
                    <pic:cNvPr id="0" name="synthese_fig2_bark.png"/>
                    <pic:cNvPicPr/>
                  </pic:nvPicPr>
                  <pic:blipFill>
                    <a:blip r:embed="rId11"/>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4" name="Picture 4"/>
            <wp:cNvGraphicFramePr>
              <a:graphicFrameLocks noChangeAspect="1"/>
            </wp:cNvGraphicFramePr>
            <a:graphic>
              <a:graphicData uri="http://schemas.openxmlformats.org/drawingml/2006/picture">
                <pic:pic>
                  <pic:nvPicPr>
                    <pic:cNvPr id="0" name="synthese_fig3_cluster.png"/>
                    <pic:cNvPicPr/>
                  </pic:nvPicPr>
                  <pic:blipFill>
                    <a:blip r:embed="rId12"/>
                    <a:stretch>
                      <a:fillRect/>
                    </a:stretch>
                  </pic:blipFill>
                  <pic:spPr>
                    <a:xfrm>
                      <a:off x="0" y="0"/>
                      <a:ext cx="5943600" cy="2759529"/>
                    </a:xfrm>
                    <a:prstGeom prst="rect"/>
                  </pic:spPr>
                </pic:pic>
              </a:graphicData>
            </a:graphic>
          </wp:inline>
        </w:drawing>
      </w:r>
    </w:p>
    <w:p/>
    <w:p>
      <w:pPr>
        <w:pStyle w:val="Heading2"/>
      </w:pPr>
      <w:r>
        <w:rPr>
          <w:color w:val="B71C1C"/>
        </w:rPr>
        <w:t>Le Cluster de Convergence — Zone /o/–/å/ (377–510 Hz)</w:t>
      </w:r>
    </w:p>
    <w:p>
      <w:pPr>
        <w:jc w:val="center"/>
      </w:pPr>
      <w:r>
        <w:drawing>
          <wp:inline xmlns:a="http://schemas.openxmlformats.org/drawingml/2006/main" xmlns:pic="http://schemas.openxmlformats.org/drawingml/2006/picture">
            <wp:extent cx="5486400" cy="2438400"/>
            <wp:docPr id="5" name="Picture 5"/>
            <wp:cNvGraphicFramePr>
              <a:graphicFrameLocks noChangeAspect="1"/>
            </wp:cNvGraphicFramePr>
            <a:graphic>
              <a:graphicData uri="http://schemas.openxmlformats.org/drawingml/2006/picture">
                <pic:pic>
                  <pic:nvPicPr>
                    <pic:cNvPr id="0" name="synthese_cluster.png"/>
                    <pic:cNvPicPr/>
                  </pic:nvPicPr>
                  <pic:blipFill>
                    <a:blip r:embed="rId13"/>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6" name="Picture 6"/>
            <wp:cNvGraphicFramePr>
              <a:graphicFrameLocks noChangeAspect="1"/>
            </wp:cNvGraphicFramePr>
            <a:graphic>
              <a:graphicData uri="http://schemas.openxmlformats.org/drawingml/2006/picture">
                <pic:pic>
                  <pic:nvPicPr>
                    <pic:cNvPr id="0" name="synthese_f1_base.png"/>
                    <pic:cNvPicPr/>
                  </pic:nvPicPr>
                  <pic:blipFill>
                    <a:blip r:embed="rId14"/>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826050"/>
            <wp:docPr id="7" name="Picture 7"/>
            <wp:cNvGraphicFramePr>
              <a:graphicFrameLocks noChangeAspect="1"/>
            </wp:cNvGraphicFramePr>
            <a:graphic>
              <a:graphicData uri="http://schemas.openxmlformats.org/drawingml/2006/picture">
                <pic:pic>
                  <pic:nvPicPr>
                    <pic:cNvPr id="0" name="synthese_matrix_base.png"/>
                    <pic:cNvPicPr/>
                  </pic:nvPicPr>
                  <pic:blipFill>
                    <a:blip r:embed="rId15"/>
                    <a:stretch>
                      <a:fillRect/>
                    </a:stretch>
                  </pic:blipFill>
                  <pic:spPr>
                    <a:xfrm>
                      <a:off x="0" y="0"/>
                      <a:ext cx="5943600" cy="5826050"/>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5616"/>
            <wp:docPr id="8" name="Picture 8"/>
            <wp:cNvGraphicFramePr>
              <a:graphicFrameLocks noChangeAspect="1"/>
            </wp:cNvGraphicFramePr>
            <a:graphic>
              <a:graphicData uri="http://schemas.openxmlformats.org/drawingml/2006/picture">
                <pic:pic>
                  <pic:nvPicPr>
                    <pic:cNvPr id="0" name="synthese_matrix_full.png"/>
                    <pic:cNvPicPr/>
                  </pic:nvPicPr>
                  <pic:blipFill>
                    <a:blip r:embed="rId16"/>
                    <a:stretch>
                      <a:fillRect/>
                    </a:stretch>
                  </pic:blipFill>
                  <pic:spPr>
                    <a:xfrm>
                      <a:off x="0" y="0"/>
                      <a:ext cx="5943600" cy="6235616"/>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9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(0 Bark) — unisson formantique : Flûte (743) + Hautbois (743) ; Tuba contrebasse + Contrebasson + Tuba basse (tous à 226 Hz) — trois familles, une seule couleur. Δ ≤ 30 Hz (≤ 0,3 Bark) — fusion quasi-parfaite : Basson (495) + Violoncelle (205) Δ=11 Hz ; Cor (388) + Alto (377) Δ=11 Hz ; Trombone (237) + Tuba basse (226) Δ=11 Hz ; Trombone (237) + Trombone basse (258) Δ=21 Hz. Δ 30–80 Hz (0,3–0,7 Bark) — fusion efficace : Cor anglais (452) + Clarinette Sib (463) Δ=11 Hz. Δ ≥ 200 Hz (≥ 1,5 Bark) — complémentarité spectrale : les spectres coexistent sans masquage.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p>
      <w:pPr>
        <w:pStyle w:val="Heading3"/>
      </w:pPr>
      <w:r>
        <w:rPr>
          <w:color w:val="4A148C"/>
        </w:rPr>
        <w:t>7. Les convergences sont spécifiques au registre</w:t>
      </w:r>
    </w:p>
    <w:p>
      <w:r>
        <w:rPr>
          <w:b w:val="0"/>
          <w:i w:val="0"/>
          <w:sz w:val="20"/>
        </w:rPr>
        <w:t>La moyenne globale masque des convergences formantiques qui n'existent que dans un registre particulier. Deux instruments peuvent diverger globalement mais fusionner parfaitement quand ils jouent dans un registre spécifique. Exemple démonstratif : le cor (F1 global = 431 Hz) et l'alto (F1 global = 355 Hz) divergent de 76 Hz — mais dans leur registre médium commun, F1 = 323 Hz des deux côtés (Δ = 0 Hz). De même, la clarinette en registre de gorge (F1 = 355 Hz) converge exactement avec le violon médium et aigu (F1 = 355 Hz) — fondement acoustique de la doublure clarinette-violon classique de Mozart et Brahms. Conséquence pratique : les doublures classiques fonctionnent parce que les compositeurs écrivent les instruments dans les registres où ils convergent. Une doublure cor-alto est efficace dans le médium mais pas nécessairement dans l'aigu. L'analyse par registre est donc plus pertinente que la moyenne globale pour prédire la qualité d'une doublure.</w:t>
      </w:r>
    </w:p>
    <w:p>
      <w:pPr>
        <w:pStyle w:val="Heading3"/>
      </w:pPr>
      <w:r>
        <w:rPr>
          <w:color w:val="4A148C"/>
        </w:rPr>
        <w:t>8. Le « super-cluster » de registre médium</w:t>
      </w:r>
    </w:p>
    <w:p>
      <w:r>
        <w:rPr>
          <w:b w:val="0"/>
          <w:i w:val="0"/>
          <w:sz w:val="20"/>
        </w:rPr>
        <w:t>Quatre instruments de trois familles — flûte grave (F1=334 Hz), cor médium (F1=323 Hz), trompette médium (F1=323 Hz), alto médium (F1=323 Hz) — convergent dans une bande de 11 Hz autour de 323–334 Hz (zone /o/). Ce « super-cluster » transcende les familles instrumentales et explique pourquoi les tutti médium de l'orchestre romantique (Brahms, Tchaïkovsky) produisent une homogénéité timbrale remarquable malgré la diversité des sources. Autres convergences de registre remarquables : Clarinette chalumeau (215 Hz) + Trombone grave (215 Hz) : Δ=0 Hz — même zone /u/, une doublure à l'octave qui produit une fusion remarquable. Flûte médium (528 Hz) + Basson bas-médium (517 Hz) : Δ=11 Hz — fondement de la doublure flûte-basson à l'octave (Beethoven, Pastorale). Basson haut-médium (377 Hz) + Alto grave (366 Hz) : Δ=11 Hz — parenté timbrale basson-alto dans la zone /å/. Cor aigu (484 Hz) + Trompette grave (495 Hz) : Δ=11 Hz — convergence cuivres dans la zone /o/.</w:t>
      </w:r>
    </w:p>
    <w:p>
      <w:pPr>
        <w:pStyle w:val="Heading3"/>
      </w:pPr>
      <w:r>
        <w:rPr>
          <w:color w:val="4A148C"/>
        </w:rPr>
        <w:t>9. Stabilité du Fp par registre — le centroïde comme signature timbrale</w:t>
      </w:r>
    </w:p>
    <w:p>
      <w:r>
        <w:rPr>
          <w:b w:val="0"/>
          <w:i w:val="0"/>
          <w:sz w:val="20"/>
        </w:rPr>
        <w:t>Le Fp varie peu d'un registre à l'autre pour un même instrument. Exemples : cor Fp = 698–724 Hz sur 4 registres (variation &amp;lt; 4 %), trombone Fp = 1 217–1 290 Hz (variation 6 %), violoncelle Fp = 965–1 020 Hz (variation 6 %). Cela confirme que le Fp capture une caractéristique structurelle de l'instrument — résonance du corps, du pavillon ou de la caisse — indépendante de la note jouée. Conséquence : les convergences Fp inter-instruments sont robustes quel que soit le registre. Le trombone (Fp ≈ 1 217–1 260 Hz) converge avec la contrebasse (Fp ≈ 1 283–1 297 Hz) dans tous les registres. Le basson (Fp ≈ 1 063–1 109 Hz) converge avec la trompette (Fp ≈ 1 043–1 088 Hz) de manière stable. Le Fp est donc la mesure la plus fiable pour prédire la fusion timbrale entre instruments à grande tessiture — là où F1 et F2 sont trop instables pour servir de référence.</w:t>
      </w:r>
    </w:p>
    <w:p/>
    <w:p>
      <w:pPr>
        <w:pStyle w:val="Heading2"/>
      </w:pPr>
      <w:r>
        <w:rPr>
          <w:color w:val="1565C0"/>
        </w:rPr>
        <w:t>Tableau de référence Fp — bandes de calcul et contexte</w:t>
      </w:r>
    </w:p>
    <w:p>
      <w:r>
        <w:rPr>
          <w:b w:val="0"/>
          <w:i/>
          <w:sz w:val="18"/>
        </w:rPr>
        <w:t>Valeurs Fp de référence (soliste, ordinario). Les variantes ensemble/sourdine sont documentées dans les sections instrumentales.</w:t>
      </w:r>
    </w:p>
    <w:tbl>
      <w:tblPr>
        <w:tblStyle w:val="TableGrid"/>
        <w:tblW w:type="auto" w:w="0"/>
        <w:tblLook w:firstColumn="1" w:firstRow="1" w:lastColumn="0" w:lastRow="0" w:noHBand="0" w:noVBand="1" w:val="04A0"/>
      </w:tblPr>
      <w:tblGrid>
        <w:gridCol w:w="1384"/>
        <w:gridCol w:w="1384"/>
        <w:gridCol w:w="1384"/>
        <w:gridCol w:w="1384"/>
        <w:gridCol w:w="1384"/>
        <w:gridCol w:w="1384"/>
        <w:gridCol w:w="1384"/>
      </w:tblGrid>
      <w:tr>
        <w:tc>
          <w:tcPr>
            <w:tcW w:type="dxa" w:w="1384"/>
            <w:shd w:fill="1565C0"/>
          </w:tcPr>
          <w:p>
            <w:pPr>
              <w:jc w:val="center"/>
            </w:pPr>
            <w:r/>
            <w:r>
              <w:rPr>
                <w:b/>
                <w:color w:val="FFFFFF"/>
                <w:sz w:val="16"/>
              </w:rPr>
              <w:t>Instrument</w:t>
            </w:r>
          </w:p>
        </w:tc>
        <w:tc>
          <w:tcPr>
            <w:tcW w:type="dxa" w:w="1384"/>
            <w:shd w:fill="1565C0"/>
          </w:tcPr>
          <w:p>
            <w:pPr>
              <w:jc w:val="center"/>
            </w:pPr>
            <w:r/>
            <w:r>
              <w:rPr>
                <w:b/>
                <w:color w:val="FFFFFF"/>
                <w:sz w:val="16"/>
              </w:rPr>
              <w:t>Fp réf.</w:t>
            </w:r>
          </w:p>
        </w:tc>
        <w:tc>
          <w:tcPr>
            <w:tcW w:type="dxa" w:w="1384"/>
            <w:shd w:fill="1565C0"/>
          </w:tcPr>
          <w:p>
            <w:pPr>
              <w:jc w:val="center"/>
            </w:pPr>
            <w:r/>
            <w:r>
              <w:rPr>
                <w:b/>
                <w:color w:val="FFFFFF"/>
                <w:sz w:val="16"/>
              </w:rPr>
              <w:t>Bande</w:t>
            </w:r>
          </w:p>
        </w:tc>
        <w:tc>
          <w:tcPr>
            <w:tcW w:type="dxa" w:w="1384"/>
            <w:shd w:fill="1565C0"/>
          </w:tcPr>
          <w:p>
            <w:pPr>
              <w:jc w:val="center"/>
            </w:pPr>
            <w:r/>
            <w:r>
              <w:rPr>
                <w:b/>
                <w:color w:val="FFFFFF"/>
                <w:sz w:val="16"/>
              </w:rPr>
              <w:t>σ(Fp)</w:t>
            </w:r>
          </w:p>
        </w:tc>
        <w:tc>
          <w:tcPr>
            <w:tcW w:type="dxa" w:w="1384"/>
            <w:shd w:fill="1565C0"/>
          </w:tcPr>
          <w:p>
            <w:pPr>
              <w:jc w:val="center"/>
            </w:pPr>
            <w:r/>
            <w:r>
              <w:rPr>
                <w:b/>
                <w:color w:val="FFFFFF"/>
                <w:sz w:val="16"/>
              </w:rPr>
              <w:t>Contexte</w:t>
            </w:r>
          </w:p>
        </w:tc>
        <w:tc>
          <w:tcPr>
            <w:tcW w:type="dxa" w:w="1384"/>
            <w:shd w:fill="1565C0"/>
          </w:tcPr>
          <w:p>
            <w:pPr>
              <w:jc w:val="center"/>
            </w:pPr>
            <w:r/>
            <w:r>
              <w:rPr>
                <w:b/>
                <w:color w:val="FFFFFF"/>
                <w:sz w:val="16"/>
              </w:rPr>
              <w:t>N</w:t>
            </w:r>
          </w:p>
        </w:tc>
        <w:tc>
          <w:tcPr>
            <w:tcW w:type="dxa" w:w="1384"/>
            <w:shd w:fill="1565C0"/>
          </w:tcPr>
          <w:p>
            <w:pPr>
              <w:jc w:val="center"/>
            </w:pPr>
            <w:r/>
            <w:r>
              <w:rPr>
                <w:b/>
                <w:color w:val="FFFFFF"/>
                <w:sz w:val="16"/>
              </w:rPr>
              <w:t>Notes</w:t>
            </w:r>
          </w:p>
        </w:tc>
      </w:tr>
      <w:tr>
        <w:tc>
          <w:tcPr>
            <w:tcW w:type="dxa" w:w="1384"/>
          </w:tcPr>
          <w:p>
            <w:pPr>
              <w:jc w:val="center"/>
            </w:pPr>
            <w:r/>
            <w:r>
              <w:rPr>
                <w:b/>
                <w:sz w:val="16"/>
              </w:rPr>
              <w:t>Flûte</w:t>
            </w:r>
          </w:p>
        </w:tc>
        <w:tc>
          <w:tcPr>
            <w:tcW w:type="dxa" w:w="1384"/>
          </w:tcPr>
          <w:p>
            <w:pPr>
              <w:jc w:val="center"/>
            </w:pPr>
            <w:r/>
            <w:r>
              <w:rPr>
                <w:b w:val="0"/>
                <w:sz w:val="16"/>
              </w:rPr>
              <w:t>1 535</w:t>
            </w:r>
          </w:p>
        </w:tc>
        <w:tc>
          <w:tcPr>
            <w:tcW w:type="dxa" w:w="1384"/>
          </w:tcPr>
          <w:p>
            <w:pPr>
              <w:jc w:val="center"/>
            </w:pPr>
            <w:r/>
            <w:r>
              <w:rPr>
                <w:b w:val="0"/>
                <w:sz w:val="16"/>
              </w:rPr>
              <w:t>1 000–2 000</w:t>
            </w:r>
          </w:p>
        </w:tc>
        <w:tc>
          <w:tcPr>
            <w:tcW w:type="dxa" w:w="1384"/>
          </w:tcPr>
          <w:p>
            <w:pPr>
              <w:jc w:val="center"/>
            </w:pPr>
            <w:r/>
            <w:r>
              <w:rPr>
                <w:b w:val="0"/>
                <w:sz w:val="16"/>
              </w:rPr>
              <w:t>~150</w:t>
            </w:r>
          </w:p>
        </w:tc>
        <w:tc>
          <w:tcPr>
            <w:tcW w:type="dxa" w:w="1384"/>
          </w:tcPr>
          <w:p>
            <w:pPr>
              <w:jc w:val="center"/>
            </w:pPr>
            <w:r/>
            <w:r>
              <w:rPr>
                <w:b w:val="0"/>
                <w:sz w:val="16"/>
              </w:rPr>
              <w:t>Solo ord.</w:t>
            </w:r>
          </w:p>
        </w:tc>
        <w:tc>
          <w:tcPr>
            <w:tcW w:type="dxa" w:w="1384"/>
          </w:tcPr>
          <w:p>
            <w:pPr>
              <w:jc w:val="center"/>
            </w:pPr>
            <w:r/>
            <w:r>
              <w:rPr>
                <w:b w:val="0"/>
                <w:sz w:val="16"/>
              </w:rPr>
              <w:t>118</w:t>
            </w:r>
          </w:p>
        </w:tc>
        <w:tc>
          <w:tcPr>
            <w:tcW w:type="dxa" w:w="1384"/>
          </w:tcPr>
          <w:p>
            <w:pPr>
              <w:jc w:val="center"/>
            </w:pPr>
            <w:r/>
            <w:r>
              <w:rPr>
                <w:b w:val="0"/>
                <w:sz w:val="16"/>
              </w:rPr>
              <w:t>—</w:t>
            </w:r>
          </w:p>
        </w:tc>
      </w:tr>
      <w:tr>
        <w:tc>
          <w:tcPr>
            <w:tcW w:type="dxa" w:w="1384"/>
          </w:tcPr>
          <w:p>
            <w:pPr>
              <w:jc w:val="center"/>
            </w:pPr>
            <w:r/>
            <w:r>
              <w:rPr>
                <w:b/>
                <w:sz w:val="16"/>
              </w:rPr>
              <w:t>Hautbois</w:t>
            </w:r>
          </w:p>
        </w:tc>
        <w:tc>
          <w:tcPr>
            <w:tcW w:type="dxa" w:w="1384"/>
          </w:tcPr>
          <w:p>
            <w:pPr>
              <w:jc w:val="center"/>
            </w:pPr>
            <w:r/>
            <w:r>
              <w:rPr>
                <w:b w:val="0"/>
                <w:sz w:val="16"/>
              </w:rPr>
              <w:t>1 485</w:t>
            </w:r>
          </w:p>
        </w:tc>
        <w:tc>
          <w:tcPr>
            <w:tcW w:type="dxa" w:w="1384"/>
          </w:tcPr>
          <w:p>
            <w:pPr>
              <w:jc w:val="center"/>
            </w:pPr>
            <w:r/>
            <w:r>
              <w:rPr>
                <w:b w:val="0"/>
                <w:sz w:val="16"/>
              </w:rPr>
              <w:t>1 000–2 000</w:t>
            </w:r>
          </w:p>
        </w:tc>
        <w:tc>
          <w:tcPr>
            <w:tcW w:type="dxa" w:w="1384"/>
          </w:tcPr>
          <w:p>
            <w:pPr>
              <w:jc w:val="center"/>
            </w:pPr>
            <w:r/>
            <w:r>
              <w:rPr>
                <w:b w:val="0"/>
                <w:sz w:val="16"/>
              </w:rPr>
              <w:t>~90</w:t>
            </w:r>
          </w:p>
        </w:tc>
        <w:tc>
          <w:tcPr>
            <w:tcW w:type="dxa" w:w="1384"/>
          </w:tcPr>
          <w:p>
            <w:pPr>
              <w:jc w:val="center"/>
            </w:pPr>
            <w:r/>
            <w:r>
              <w:rPr>
                <w:b w:val="0"/>
                <w:sz w:val="16"/>
              </w:rPr>
              <w:t>Solo ord.</w:t>
            </w:r>
          </w:p>
        </w:tc>
        <w:tc>
          <w:tcPr>
            <w:tcW w:type="dxa" w:w="1384"/>
          </w:tcPr>
          <w:p>
            <w:pPr>
              <w:jc w:val="center"/>
            </w:pPr>
            <w:r/>
            <w:r>
              <w:rPr>
                <w:b w:val="0"/>
                <w:sz w:val="16"/>
              </w:rPr>
              <w:t>107</w:t>
            </w:r>
          </w:p>
        </w:tc>
        <w:tc>
          <w:tcPr>
            <w:tcW w:type="dxa" w:w="1384"/>
          </w:tcPr>
          <w:p>
            <w:pPr>
              <w:jc w:val="center"/>
            </w:pPr>
            <w:r/>
            <w:r>
              <w:rPr>
                <w:b w:val="0"/>
                <w:sz w:val="16"/>
              </w:rPr>
              <w:t>Stable 6 %</w:t>
            </w:r>
          </w:p>
        </w:tc>
      </w:tr>
      <w:tr>
        <w:tc>
          <w:tcPr>
            <w:tcW w:type="dxa" w:w="1384"/>
          </w:tcPr>
          <w:p>
            <w:pPr>
              <w:jc w:val="center"/>
            </w:pPr>
            <w:r/>
            <w:r>
              <w:rPr>
                <w:b/>
                <w:sz w:val="16"/>
              </w:rPr>
              <w:t>Clarinette Sib</w:t>
            </w:r>
          </w:p>
        </w:tc>
        <w:tc>
          <w:tcPr>
            <w:tcW w:type="dxa" w:w="1384"/>
          </w:tcPr>
          <w:p>
            <w:pPr>
              <w:jc w:val="center"/>
            </w:pPr>
            <w:r/>
            <w:r>
              <w:rPr>
                <w:b w:val="0"/>
                <w:sz w:val="16"/>
              </w:rPr>
              <w:t>1 412</w:t>
            </w:r>
          </w:p>
        </w:tc>
        <w:tc>
          <w:tcPr>
            <w:tcW w:type="dxa" w:w="1384"/>
          </w:tcPr>
          <w:p>
            <w:pPr>
              <w:jc w:val="center"/>
            </w:pPr>
            <w:r/>
            <w:r>
              <w:rPr>
                <w:b w:val="0"/>
                <w:sz w:val="16"/>
              </w:rPr>
              <w:t>1 000–2 000</w:t>
            </w:r>
          </w:p>
        </w:tc>
        <w:tc>
          <w:tcPr>
            <w:tcW w:type="dxa" w:w="1384"/>
          </w:tcPr>
          <w:p>
            <w:pPr>
              <w:jc w:val="center"/>
            </w:pPr>
            <w:r/>
            <w:r>
              <w:rPr>
                <w:b w:val="0"/>
                <w:sz w:val="16"/>
              </w:rPr>
              <w:t>169</w:t>
            </w:r>
          </w:p>
        </w:tc>
        <w:tc>
          <w:tcPr>
            <w:tcW w:type="dxa" w:w="1384"/>
          </w:tcPr>
          <w:p>
            <w:pPr>
              <w:jc w:val="center"/>
            </w:pPr>
            <w:r/>
            <w:r>
              <w:rPr>
                <w:b w:val="0"/>
                <w:sz w:val="16"/>
              </w:rPr>
              <w:t>Solo ord.</w:t>
            </w:r>
          </w:p>
        </w:tc>
        <w:tc>
          <w:tcPr>
            <w:tcW w:type="dxa" w:w="1384"/>
          </w:tcPr>
          <w:p>
            <w:pPr>
              <w:jc w:val="center"/>
            </w:pPr>
            <w:r/>
            <w:r>
              <w:rPr>
                <w:b w:val="0"/>
                <w:sz w:val="16"/>
              </w:rPr>
              <w:t>126</w:t>
            </w:r>
          </w:p>
        </w:tc>
        <w:tc>
          <w:tcPr>
            <w:tcW w:type="dxa" w:w="1384"/>
          </w:tcPr>
          <w:p>
            <w:pPr>
              <w:jc w:val="center"/>
            </w:pPr>
            <w:r/>
            <w:r>
              <w:rPr>
                <w:b w:val="0"/>
                <w:sz w:val="16"/>
              </w:rPr>
              <w:t>Var. 1 296 (800–1 600)</w:t>
            </w:r>
          </w:p>
        </w:tc>
      </w:tr>
      <w:tr>
        <w:tc>
          <w:tcPr>
            <w:tcW w:type="dxa" w:w="1384"/>
          </w:tcPr>
          <w:p>
            <w:pPr>
              <w:jc w:val="center"/>
            </w:pPr>
            <w:r/>
            <w:r>
              <w:rPr>
                <w:b/>
                <w:sz w:val="16"/>
              </w:rPr>
              <w:t>Basson</w:t>
            </w:r>
          </w:p>
        </w:tc>
        <w:tc>
          <w:tcPr>
            <w:tcW w:type="dxa" w:w="1384"/>
          </w:tcPr>
          <w:p>
            <w:pPr>
              <w:jc w:val="center"/>
            </w:pPr>
            <w:r/>
            <w:r>
              <w:rPr>
                <w:b w:val="0"/>
                <w:sz w:val="16"/>
              </w:rPr>
              <w:t>1 079</w:t>
            </w:r>
          </w:p>
        </w:tc>
        <w:tc>
          <w:tcPr>
            <w:tcW w:type="dxa" w:w="1384"/>
          </w:tcPr>
          <w:p>
            <w:pPr>
              <w:jc w:val="center"/>
            </w:pPr>
            <w:r/>
            <w:r>
              <w:rPr>
                <w:b w:val="0"/>
                <w:sz w:val="16"/>
              </w:rPr>
              <w:t>800–1 600</w:t>
            </w:r>
          </w:p>
        </w:tc>
        <w:tc>
          <w:tcPr>
            <w:tcW w:type="dxa" w:w="1384"/>
          </w:tcPr>
          <w:p>
            <w:pPr>
              <w:jc w:val="center"/>
            </w:pPr>
            <w:r/>
            <w:r>
              <w:rPr>
                <w:b w:val="0"/>
                <w:sz w:val="16"/>
              </w:rPr>
              <w:t>~60</w:t>
            </w:r>
          </w:p>
        </w:tc>
        <w:tc>
          <w:tcPr>
            <w:tcW w:type="dxa" w:w="1384"/>
          </w:tcPr>
          <w:p>
            <w:pPr>
              <w:jc w:val="center"/>
            </w:pPr>
            <w:r/>
            <w:r>
              <w:rPr>
                <w:b w:val="0"/>
                <w:sz w:val="16"/>
              </w:rPr>
              <w:t>Solo ord.</w:t>
            </w:r>
          </w:p>
        </w:tc>
        <w:tc>
          <w:tcPr>
            <w:tcW w:type="dxa" w:w="1384"/>
          </w:tcPr>
          <w:p>
            <w:pPr>
              <w:jc w:val="center"/>
            </w:pPr>
            <w:r/>
            <w:r>
              <w:rPr>
                <w:b w:val="0"/>
                <w:sz w:val="16"/>
              </w:rPr>
              <w:t>126</w:t>
            </w:r>
          </w:p>
        </w:tc>
        <w:tc>
          <w:tcPr>
            <w:tcW w:type="dxa" w:w="1384"/>
          </w:tcPr>
          <w:p>
            <w:pPr>
              <w:jc w:val="center"/>
            </w:pPr>
            <w:r/>
            <w:r>
              <w:rPr>
                <w:b w:val="0"/>
                <w:sz w:val="16"/>
              </w:rPr>
              <w:t>Très stable 4 %</w:t>
            </w:r>
          </w:p>
        </w:tc>
      </w:tr>
      <w:tr>
        <w:tc>
          <w:tcPr>
            <w:tcW w:type="dxa" w:w="1384"/>
          </w:tcPr>
          <w:p>
            <w:pPr>
              <w:jc w:val="center"/>
            </w:pPr>
            <w:r/>
            <w:r>
              <w:rPr>
                <w:b/>
                <w:sz w:val="16"/>
              </w:rPr>
              <w:t>Cor</w:t>
            </w:r>
          </w:p>
        </w:tc>
        <w:tc>
          <w:tcPr>
            <w:tcW w:type="dxa" w:w="1384"/>
          </w:tcPr>
          <w:p>
            <w:pPr>
              <w:jc w:val="center"/>
            </w:pPr>
            <w:r/>
            <w:r>
              <w:rPr>
                <w:b w:val="0"/>
                <w:sz w:val="16"/>
              </w:rPr>
              <w:t>738</w:t>
            </w:r>
          </w:p>
        </w:tc>
        <w:tc>
          <w:tcPr>
            <w:tcW w:type="dxa" w:w="1384"/>
          </w:tcPr>
          <w:p>
            <w:pPr>
              <w:jc w:val="center"/>
            </w:pPr>
            <w:r/>
            <w:r>
              <w:rPr>
                <w:b w:val="0"/>
                <w:sz w:val="16"/>
              </w:rPr>
              <w:t>600–1 400</w:t>
            </w:r>
          </w:p>
        </w:tc>
        <w:tc>
          <w:tcPr>
            <w:tcW w:type="dxa" w:w="1384"/>
          </w:tcPr>
          <w:p>
            <w:pPr>
              <w:jc w:val="center"/>
            </w:pPr>
            <w:r/>
            <w:r>
              <w:rPr>
                <w:b w:val="0"/>
                <w:sz w:val="16"/>
              </w:rPr>
              <w:t>112</w:t>
            </w:r>
          </w:p>
        </w:tc>
        <w:tc>
          <w:tcPr>
            <w:tcW w:type="dxa" w:w="1384"/>
          </w:tcPr>
          <w:p>
            <w:pPr>
              <w:jc w:val="center"/>
            </w:pPr>
            <w:r/>
            <w:r>
              <w:rPr>
                <w:b w:val="0"/>
                <w:sz w:val="16"/>
              </w:rPr>
              <w:t>Solo ord.</w:t>
            </w:r>
          </w:p>
        </w:tc>
        <w:tc>
          <w:tcPr>
            <w:tcW w:type="dxa" w:w="1384"/>
          </w:tcPr>
          <w:p>
            <w:pPr>
              <w:jc w:val="center"/>
            </w:pPr>
            <w:r/>
            <w:r>
              <w:rPr>
                <w:b w:val="0"/>
                <w:sz w:val="16"/>
              </w:rPr>
              <w:t>134</w:t>
            </w:r>
          </w:p>
        </w:tc>
        <w:tc>
          <w:tcPr>
            <w:tcW w:type="dxa" w:w="1384"/>
          </w:tcPr>
          <w:p>
            <w:pPr>
              <w:jc w:val="center"/>
            </w:pPr>
            <w:r/>
            <w:r>
              <w:rPr>
                <w:b w:val="0"/>
                <w:sz w:val="16"/>
              </w:rPr>
              <w:t>Le plus stable &lt; 4 %</w:t>
            </w:r>
          </w:p>
        </w:tc>
      </w:tr>
      <w:tr>
        <w:tc>
          <w:tcPr>
            <w:tcW w:type="dxa" w:w="1384"/>
          </w:tcPr>
          <w:p>
            <w:pPr>
              <w:jc w:val="center"/>
            </w:pPr>
            <w:r/>
            <w:r>
              <w:rPr>
                <w:b/>
                <w:sz w:val="16"/>
              </w:rPr>
              <w:t>Trompette</w:t>
            </w:r>
          </w:p>
        </w:tc>
        <w:tc>
          <w:tcPr>
            <w:tcW w:type="dxa" w:w="1384"/>
          </w:tcPr>
          <w:p>
            <w:pPr>
              <w:jc w:val="center"/>
            </w:pPr>
            <w:r/>
            <w:r>
              <w:rPr>
                <w:b w:val="0"/>
                <w:sz w:val="16"/>
              </w:rPr>
              <w:t>1 046</w:t>
            </w:r>
          </w:p>
        </w:tc>
        <w:tc>
          <w:tcPr>
            <w:tcW w:type="dxa" w:w="1384"/>
          </w:tcPr>
          <w:p>
            <w:pPr>
              <w:jc w:val="center"/>
            </w:pPr>
            <w:r/>
            <w:r>
              <w:rPr>
                <w:b w:val="0"/>
                <w:sz w:val="16"/>
              </w:rPr>
              <w:t>600–1 400</w:t>
            </w:r>
          </w:p>
        </w:tc>
        <w:tc>
          <w:tcPr>
            <w:tcW w:type="dxa" w:w="1384"/>
          </w:tcPr>
          <w:p>
            <w:pPr>
              <w:jc w:val="center"/>
            </w:pPr>
            <w:r/>
            <w:r>
              <w:rPr>
                <w:b w:val="0"/>
                <w:sz w:val="16"/>
              </w:rPr>
              <w:t>98</w:t>
            </w:r>
          </w:p>
        </w:tc>
        <w:tc>
          <w:tcPr>
            <w:tcW w:type="dxa" w:w="1384"/>
          </w:tcPr>
          <w:p>
            <w:pPr>
              <w:jc w:val="center"/>
            </w:pPr>
            <w:r/>
            <w:r>
              <w:rPr>
                <w:b w:val="0"/>
                <w:sz w:val="16"/>
              </w:rPr>
              <w:t>Solo ord.</w:t>
            </w:r>
          </w:p>
        </w:tc>
        <w:tc>
          <w:tcPr>
            <w:tcW w:type="dxa" w:w="1384"/>
          </w:tcPr>
          <w:p>
            <w:pPr>
              <w:jc w:val="center"/>
            </w:pPr>
            <w:r/>
            <w:r>
              <w:rPr>
                <w:b w:val="0"/>
                <w:sz w:val="16"/>
              </w:rPr>
              <w:t>96</w:t>
            </w:r>
          </w:p>
        </w:tc>
        <w:tc>
          <w:tcPr>
            <w:tcW w:type="dxa" w:w="1384"/>
          </w:tcPr>
          <w:p>
            <w:pPr>
              <w:jc w:val="center"/>
            </w:pPr>
            <w:r/>
            <w:r>
              <w:rPr>
                <w:b w:val="0"/>
                <w:sz w:val="16"/>
              </w:rPr>
              <w:t>10,4× &gt; F2</w:t>
            </w:r>
          </w:p>
        </w:tc>
      </w:tr>
      <w:tr>
        <w:tc>
          <w:tcPr>
            <w:tcW w:type="dxa" w:w="1384"/>
          </w:tcPr>
          <w:p>
            <w:pPr>
              <w:jc w:val="center"/>
            </w:pPr>
            <w:r/>
            <w:r>
              <w:rPr>
                <w:b/>
                <w:sz w:val="16"/>
              </w:rPr>
              <w:t>Trombone</w:t>
            </w:r>
          </w:p>
        </w:tc>
        <w:tc>
          <w:tcPr>
            <w:tcW w:type="dxa" w:w="1384"/>
          </w:tcPr>
          <w:p>
            <w:pPr>
              <w:jc w:val="center"/>
            </w:pPr>
            <w:r/>
            <w:r>
              <w:rPr>
                <w:b w:val="0"/>
                <w:sz w:val="16"/>
              </w:rPr>
              <w:t>1 218</w:t>
            </w:r>
          </w:p>
        </w:tc>
        <w:tc>
          <w:tcPr>
            <w:tcW w:type="dxa" w:w="1384"/>
          </w:tcPr>
          <w:p>
            <w:pPr>
              <w:jc w:val="center"/>
            </w:pPr>
            <w:r/>
            <w:r>
              <w:rPr>
                <w:b w:val="0"/>
                <w:sz w:val="16"/>
              </w:rPr>
              <w:t>1 000–2 000</w:t>
            </w:r>
          </w:p>
        </w:tc>
        <w:tc>
          <w:tcPr>
            <w:tcW w:type="dxa" w:w="1384"/>
          </w:tcPr>
          <w:p>
            <w:pPr>
              <w:jc w:val="center"/>
            </w:pPr>
            <w:r/>
            <w:r>
              <w:rPr>
                <w:b w:val="0"/>
                <w:sz w:val="16"/>
              </w:rPr>
              <w:t>~100</w:t>
            </w:r>
          </w:p>
        </w:tc>
        <w:tc>
          <w:tcPr>
            <w:tcW w:type="dxa" w:w="1384"/>
          </w:tcPr>
          <w:p>
            <w:pPr>
              <w:jc w:val="center"/>
            </w:pPr>
            <w:r/>
            <w:r>
              <w:rPr>
                <w:b w:val="0"/>
                <w:sz w:val="16"/>
              </w:rPr>
              <w:t>Solo ord.</w:t>
            </w:r>
          </w:p>
        </w:tc>
        <w:tc>
          <w:tcPr>
            <w:tcW w:type="dxa" w:w="1384"/>
          </w:tcPr>
          <w:p>
            <w:pPr>
              <w:jc w:val="center"/>
            </w:pPr>
            <w:r/>
            <w:r>
              <w:rPr>
                <w:b w:val="0"/>
                <w:sz w:val="16"/>
              </w:rPr>
              <w:t>117</w:t>
            </w:r>
          </w:p>
        </w:tc>
        <w:tc>
          <w:tcPr>
            <w:tcW w:type="dxa" w:w="1384"/>
          </w:tcPr>
          <w:p>
            <w:pPr>
              <w:jc w:val="center"/>
            </w:pPr>
            <w:r/>
            <w:r>
              <w:rPr>
                <w:b w:val="0"/>
                <w:sz w:val="16"/>
              </w:rPr>
              <w:t>Var. 6 %/registre</w:t>
            </w:r>
          </w:p>
        </w:tc>
      </w:tr>
      <w:tr>
        <w:tc>
          <w:tcPr>
            <w:tcW w:type="dxa" w:w="1384"/>
          </w:tcPr>
          <w:p>
            <w:pPr>
              <w:jc w:val="center"/>
            </w:pPr>
            <w:r/>
            <w:r>
              <w:rPr>
                <w:b/>
                <w:sz w:val="16"/>
              </w:rPr>
              <w:t>Tuba basse</w:t>
            </w:r>
          </w:p>
        </w:tc>
        <w:tc>
          <w:tcPr>
            <w:tcW w:type="dxa" w:w="1384"/>
          </w:tcPr>
          <w:p>
            <w:pPr>
              <w:jc w:val="center"/>
            </w:pPr>
            <w:r/>
            <w:r>
              <w:rPr>
                <w:b w:val="0"/>
                <w:sz w:val="16"/>
              </w:rPr>
              <w:t>1 239</w:t>
            </w:r>
          </w:p>
        </w:tc>
        <w:tc>
          <w:tcPr>
            <w:tcW w:type="dxa" w:w="1384"/>
          </w:tcPr>
          <w:p>
            <w:pPr>
              <w:jc w:val="center"/>
            </w:pPr>
            <w:r/>
            <w:r>
              <w:rPr>
                <w:b w:val="0"/>
                <w:sz w:val="16"/>
              </w:rPr>
              <w:t>1 000–2 000</w:t>
            </w:r>
          </w:p>
        </w:tc>
        <w:tc>
          <w:tcPr>
            <w:tcW w:type="dxa" w:w="1384"/>
          </w:tcPr>
          <w:p>
            <w:pPr>
              <w:jc w:val="center"/>
            </w:pPr>
            <w:r/>
            <w:r>
              <w:rPr>
                <w:b w:val="0"/>
                <w:sz w:val="16"/>
              </w:rPr>
              <w:t>~110</w:t>
            </w:r>
          </w:p>
        </w:tc>
        <w:tc>
          <w:tcPr>
            <w:tcW w:type="dxa" w:w="1384"/>
          </w:tcPr>
          <w:p>
            <w:pPr>
              <w:jc w:val="center"/>
            </w:pPr>
            <w:r/>
            <w:r>
              <w:rPr>
                <w:b w:val="0"/>
                <w:sz w:val="16"/>
              </w:rPr>
              <w:t>Solo ord.</w:t>
            </w:r>
          </w:p>
        </w:tc>
        <w:tc>
          <w:tcPr>
            <w:tcW w:type="dxa" w:w="1384"/>
          </w:tcPr>
          <w:p>
            <w:pPr>
              <w:jc w:val="center"/>
            </w:pPr>
            <w:r/>
            <w:r>
              <w:rPr>
                <w:b w:val="0"/>
                <w:sz w:val="16"/>
              </w:rPr>
              <w:t>108</w:t>
            </w:r>
          </w:p>
        </w:tc>
        <w:tc>
          <w:tcPr>
            <w:tcW w:type="dxa" w:w="1384"/>
          </w:tcPr>
          <w:p>
            <w:pPr>
              <w:jc w:val="center"/>
            </w:pPr>
            <w:r/>
            <w:r>
              <w:rPr>
                <w:b w:val="0"/>
                <w:sz w:val="16"/>
              </w:rPr>
              <w:t>—</w:t>
            </w:r>
          </w:p>
        </w:tc>
      </w:tr>
      <w:tr>
        <w:tc>
          <w:tcPr>
            <w:tcW w:type="dxa" w:w="1384"/>
          </w:tcPr>
          <w:p>
            <w:pPr>
              <w:jc w:val="center"/>
            </w:pPr>
            <w:r/>
            <w:r>
              <w:rPr>
                <w:b/>
                <w:sz w:val="16"/>
              </w:rPr>
              <w:t>Violon solo</w:t>
            </w:r>
          </w:p>
        </w:tc>
        <w:tc>
          <w:tcPr>
            <w:tcW w:type="dxa" w:w="1384"/>
          </w:tcPr>
          <w:p>
            <w:pPr>
              <w:jc w:val="center"/>
            </w:pPr>
            <w:r/>
            <w:r>
              <w:rPr>
                <w:b w:val="0"/>
                <w:sz w:val="16"/>
              </w:rPr>
              <w:t>893</w:t>
            </w:r>
          </w:p>
        </w:tc>
        <w:tc>
          <w:tcPr>
            <w:tcW w:type="dxa" w:w="1384"/>
          </w:tcPr>
          <w:p>
            <w:pPr>
              <w:jc w:val="center"/>
            </w:pPr>
            <w:r/>
            <w:r>
              <w:rPr>
                <w:b w:val="0"/>
                <w:sz w:val="16"/>
              </w:rPr>
              <w:t>600–1 400</w:t>
            </w:r>
          </w:p>
        </w:tc>
        <w:tc>
          <w:tcPr>
            <w:tcW w:type="dxa" w:w="1384"/>
          </w:tcPr>
          <w:p>
            <w:pPr>
              <w:jc w:val="center"/>
            </w:pPr>
            <w:r/>
            <w:r>
              <w:rPr>
                <w:b w:val="0"/>
                <w:sz w:val="16"/>
              </w:rPr>
              <w:t>92</w:t>
            </w:r>
          </w:p>
        </w:tc>
        <w:tc>
          <w:tcPr>
            <w:tcW w:type="dxa" w:w="1384"/>
          </w:tcPr>
          <w:p>
            <w:pPr>
              <w:jc w:val="center"/>
            </w:pPr>
            <w:r/>
            <w:r>
              <w:rPr>
                <w:b w:val="0"/>
                <w:sz w:val="16"/>
              </w:rPr>
              <w:t>Solo ord.</w:t>
            </w:r>
          </w:p>
        </w:tc>
        <w:tc>
          <w:tcPr>
            <w:tcW w:type="dxa" w:w="1384"/>
          </w:tcPr>
          <w:p>
            <w:pPr>
              <w:jc w:val="center"/>
            </w:pPr>
            <w:r/>
            <w:r>
              <w:rPr>
                <w:b w:val="0"/>
                <w:sz w:val="16"/>
              </w:rPr>
              <w:t>284</w:t>
            </w:r>
          </w:p>
        </w:tc>
        <w:tc>
          <w:tcPr>
            <w:tcW w:type="dxa" w:w="1384"/>
          </w:tcPr>
          <w:p>
            <w:pPr>
              <w:jc w:val="center"/>
            </w:pPr>
            <w:r/>
            <w:r>
              <w:rPr>
                <w:b w:val="0"/>
                <w:sz w:val="16"/>
              </w:rPr>
              <w:t>Ens.=970, sourd.=var.</w:t>
            </w:r>
          </w:p>
        </w:tc>
      </w:tr>
      <w:tr>
        <w:tc>
          <w:tcPr>
            <w:tcW w:type="dxa" w:w="1384"/>
          </w:tcPr>
          <w:p>
            <w:pPr>
              <w:jc w:val="center"/>
            </w:pPr>
            <w:r/>
            <w:r>
              <w:rPr>
                <w:b/>
                <w:sz w:val="16"/>
              </w:rPr>
              <w:t>Alto solo</w:t>
            </w:r>
          </w:p>
        </w:tc>
        <w:tc>
          <w:tcPr>
            <w:tcW w:type="dxa" w:w="1384"/>
          </w:tcPr>
          <w:p>
            <w:pPr>
              <w:jc w:val="center"/>
            </w:pPr>
            <w:r/>
            <w:r>
              <w:rPr>
                <w:b w:val="0"/>
                <w:sz w:val="16"/>
              </w:rPr>
              <w:t>1 300</w:t>
            </w:r>
          </w:p>
        </w:tc>
        <w:tc>
          <w:tcPr>
            <w:tcW w:type="dxa" w:w="1384"/>
          </w:tcPr>
          <w:p>
            <w:pPr>
              <w:jc w:val="center"/>
            </w:pPr>
            <w:r/>
            <w:r>
              <w:rPr>
                <w:b w:val="0"/>
                <w:sz w:val="16"/>
              </w:rPr>
              <w:t>800–1 600</w:t>
            </w:r>
          </w:p>
        </w:tc>
        <w:tc>
          <w:tcPr>
            <w:tcW w:type="dxa" w:w="1384"/>
          </w:tcPr>
          <w:p>
            <w:pPr>
              <w:jc w:val="center"/>
            </w:pPr>
            <w:r/>
            <w:r>
              <w:rPr>
                <w:b w:val="0"/>
                <w:sz w:val="16"/>
              </w:rPr>
              <w:t>~120</w:t>
            </w:r>
          </w:p>
        </w:tc>
        <w:tc>
          <w:tcPr>
            <w:tcW w:type="dxa" w:w="1384"/>
          </w:tcPr>
          <w:p>
            <w:pPr>
              <w:jc w:val="center"/>
            </w:pPr>
            <w:r/>
            <w:r>
              <w:rPr>
                <w:b w:val="0"/>
                <w:sz w:val="16"/>
              </w:rPr>
              <w:t>Solo ord.</w:t>
            </w:r>
          </w:p>
        </w:tc>
        <w:tc>
          <w:tcPr>
            <w:tcW w:type="dxa" w:w="1384"/>
          </w:tcPr>
          <w:p>
            <w:pPr>
              <w:jc w:val="center"/>
            </w:pPr>
            <w:r/>
            <w:r>
              <w:rPr>
                <w:b w:val="0"/>
                <w:sz w:val="16"/>
              </w:rPr>
              <w:t>309</w:t>
            </w:r>
          </w:p>
        </w:tc>
        <w:tc>
          <w:tcPr>
            <w:tcW w:type="dxa" w:w="1384"/>
          </w:tcPr>
          <w:p>
            <w:pPr>
              <w:jc w:val="center"/>
            </w:pPr>
            <w:r/>
            <w:r>
              <w:rPr>
                <w:b w:val="0"/>
                <w:sz w:val="16"/>
              </w:rPr>
              <w:t>Ens.=954</w:t>
            </w:r>
          </w:p>
        </w:tc>
      </w:tr>
      <w:tr>
        <w:tc>
          <w:tcPr>
            <w:tcW w:type="dxa" w:w="1384"/>
          </w:tcPr>
          <w:p>
            <w:pPr>
              <w:jc w:val="center"/>
            </w:pPr>
            <w:r/>
            <w:r>
              <w:rPr>
                <w:b/>
                <w:sz w:val="16"/>
              </w:rPr>
              <w:t>Violoncelle</w:t>
            </w:r>
          </w:p>
        </w:tc>
        <w:tc>
          <w:tcPr>
            <w:tcW w:type="dxa" w:w="1384"/>
          </w:tcPr>
          <w:p>
            <w:pPr>
              <w:jc w:val="center"/>
            </w:pPr>
            <w:r/>
            <w:r>
              <w:rPr>
                <w:b w:val="0"/>
                <w:sz w:val="16"/>
              </w:rPr>
              <w:t>1 242</w:t>
            </w:r>
          </w:p>
        </w:tc>
        <w:tc>
          <w:tcPr>
            <w:tcW w:type="dxa" w:w="1384"/>
          </w:tcPr>
          <w:p>
            <w:pPr>
              <w:jc w:val="center"/>
            </w:pPr>
            <w:r/>
            <w:r>
              <w:rPr>
                <w:b w:val="0"/>
                <w:sz w:val="16"/>
              </w:rPr>
              <w:t>600–1 400</w:t>
            </w:r>
          </w:p>
        </w:tc>
        <w:tc>
          <w:tcPr>
            <w:tcW w:type="dxa" w:w="1384"/>
          </w:tcPr>
          <w:p>
            <w:pPr>
              <w:jc w:val="center"/>
            </w:pPr>
            <w:r/>
            <w:r>
              <w:rPr>
                <w:b w:val="0"/>
                <w:sz w:val="16"/>
              </w:rPr>
              <w:t>~80</w:t>
            </w:r>
          </w:p>
        </w:tc>
        <w:tc>
          <w:tcPr>
            <w:tcW w:type="dxa" w:w="1384"/>
          </w:tcPr>
          <w:p>
            <w:pPr>
              <w:jc w:val="center"/>
            </w:pPr>
            <w:r/>
            <w:r>
              <w:rPr>
                <w:b w:val="0"/>
                <w:sz w:val="16"/>
              </w:rPr>
              <w:t>Solo ord.</w:t>
            </w:r>
          </w:p>
        </w:tc>
        <w:tc>
          <w:tcPr>
            <w:tcW w:type="dxa" w:w="1384"/>
          </w:tcPr>
          <w:p>
            <w:pPr>
              <w:jc w:val="center"/>
            </w:pPr>
            <w:r/>
            <w:r>
              <w:rPr>
                <w:b w:val="0"/>
                <w:sz w:val="16"/>
              </w:rPr>
              <w:t>291</w:t>
            </w:r>
          </w:p>
        </w:tc>
        <w:tc>
          <w:tcPr>
            <w:tcW w:type="dxa" w:w="1384"/>
          </w:tcPr>
          <w:p>
            <w:pPr>
              <w:jc w:val="center"/>
            </w:pPr>
            <w:r/>
            <w:r>
              <w:rPr>
                <w:b w:val="0"/>
                <w:sz w:val="16"/>
              </w:rPr>
              <w:t>Ens.=1 471</w:t>
            </w:r>
          </w:p>
        </w:tc>
      </w:tr>
      <w:tr>
        <w:tc>
          <w:tcPr>
            <w:tcW w:type="dxa" w:w="1384"/>
          </w:tcPr>
          <w:p>
            <w:pPr>
              <w:jc w:val="center"/>
            </w:pPr>
            <w:r/>
            <w:r>
              <w:rPr>
                <w:b/>
                <w:sz w:val="16"/>
              </w:rPr>
              <w:t>Contrebasse</w:t>
            </w:r>
          </w:p>
        </w:tc>
        <w:tc>
          <w:tcPr>
            <w:tcW w:type="dxa" w:w="1384"/>
          </w:tcPr>
          <w:p>
            <w:pPr>
              <w:jc w:val="center"/>
            </w:pPr>
            <w:r/>
            <w:r>
              <w:rPr>
                <w:b w:val="0"/>
                <w:sz w:val="16"/>
              </w:rPr>
              <w:t>1 235</w:t>
            </w:r>
          </w:p>
        </w:tc>
        <w:tc>
          <w:tcPr>
            <w:tcW w:type="dxa" w:w="1384"/>
          </w:tcPr>
          <w:p>
            <w:pPr>
              <w:jc w:val="center"/>
            </w:pPr>
            <w:r/>
            <w:r>
              <w:rPr>
                <w:b w:val="0"/>
                <w:sz w:val="16"/>
              </w:rPr>
              <w:t>1 000–2 000</w:t>
            </w:r>
          </w:p>
        </w:tc>
        <w:tc>
          <w:tcPr>
            <w:tcW w:type="dxa" w:w="1384"/>
          </w:tcPr>
          <w:p>
            <w:pPr>
              <w:jc w:val="center"/>
            </w:pPr>
            <w:r/>
            <w:r>
              <w:rPr>
                <w:b w:val="0"/>
                <w:sz w:val="16"/>
              </w:rPr>
              <w:t>~50</w:t>
            </w:r>
          </w:p>
        </w:tc>
        <w:tc>
          <w:tcPr>
            <w:tcW w:type="dxa" w:w="1384"/>
          </w:tcPr>
          <w:p>
            <w:pPr>
              <w:jc w:val="center"/>
            </w:pPr>
            <w:r/>
            <w:r>
              <w:rPr>
                <w:b w:val="0"/>
                <w:sz w:val="16"/>
              </w:rPr>
              <w:t>Solo ord.</w:t>
            </w:r>
          </w:p>
        </w:tc>
        <w:tc>
          <w:tcPr>
            <w:tcW w:type="dxa" w:w="1384"/>
          </w:tcPr>
          <w:p>
            <w:pPr>
              <w:jc w:val="center"/>
            </w:pPr>
            <w:r/>
            <w:r>
              <w:rPr>
                <w:b w:val="0"/>
                <w:sz w:val="16"/>
              </w:rPr>
              <w:t>309</w:t>
            </w:r>
          </w:p>
        </w:tc>
        <w:tc>
          <w:tcPr>
            <w:tcW w:type="dxa" w:w="1384"/>
          </w:tcPr>
          <w:p>
            <w:pPr>
              <w:jc w:val="center"/>
            </w:pPr>
            <w:r/>
            <w:r>
              <w:rPr>
                <w:b w:val="0"/>
                <w:sz w:val="16"/>
              </w:rPr>
              <w:t>Ens.=1 146</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