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II. Les Bois</w:t>
      </w:r>
    </w:p>
    <w:p>
      <w:r>
        <w:rPr>
          <w:b/>
        </w:rPr>
        <w:t xml:space="preserve">Plage formantique : </w:t>
      </w:r>
      <w:r>
        <w:t xml:space="preserve">226–2 638 Hz (voyelles /u/ → /i/). </w:t>
      </w:r>
      <w:r>
        <w:rPr>
          <w:b/>
        </w:rPr>
        <w:t xml:space="preserve">Découverte clé : </w:t>
      </w:r>
      <w:r>
        <w:t>cor anglais (452 Hz) et basson (502 Hz) dans le cluster de convergence 450–502 Hz. Basson–violoncelle : Δ=3 Hz — la doublure formantiquement la plus parfaite du corpus.</w:t>
      </w:r>
    </w:p>
    <w:p>
      <w:pPr>
        <w:pStyle w:val="Heading1"/>
      </w:pPr>
      <w:r>
        <w:rPr>
          <w:color w:val="2E7D32"/>
        </w:rPr>
        <w:t>Flûtes</w:t>
      </w:r>
    </w:p>
    <w:p>
      <w:pPr>
        <w:pStyle w:val="Heading2"/>
      </w:pPr>
      <w:r>
        <w:rPr>
          <w:color w:val="1B5E20"/>
        </w:rPr>
        <w:t>Petite flûte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picco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Instrument le plus aigu spectralement de l'orchestre. Comme la grande flûte,</w:t>
        <w:br/>
        <w:t xml:space="preserve">        il ne possède pas de formant fixe au sens strict — son énergie spectrale est concentrée dans les</w:t>
        <w:br/>
        <w:t xml:space="preserve">        hautes fréquences (F1=2 336 Hz, zone frontière /e/–/i/). Backus cite ~3 400 Hz, confirmant</w:t>
        <w:br/>
        <w:t xml:space="preserve">        la tendance spectrale aiguë. Variation dynamique : pp=1 963 Hz, mf=2 469 Hz, ff=2 417 Hz.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~3 400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2 336 ±852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3 866 ±790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5 291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6 931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 (ee)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4 759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4 974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Flûte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2 336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2 336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1 302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1B5E20"/>
        </w:rPr>
        <w:t>Flûte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fl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La flûte &lt;strong&gt;ne possède pas de formant fixe&lt;/strong&gt; (Meyer, Giesler) : son spectre</w:t>
        <w:br/>
        <w:t xml:space="preserve">        varie fortement avec le registre et le souffle. Les valeurs représentent des zones spectrales moyennes.</w:t>
        <w:br/>
        <w:t xml:space="preserve">        Écart entre sources : Backus (~1 700 Hz) vs SOL2020 (1 354 Hz), Δ=346 Hz.</w:t>
        <w:br/>
        <w:t xml:space="preserve">        Le Fp centroïde à 1 535 Hz est plus stable que F1 (σ F1=480 Hz vs σ Fp≈150 Hz).</w:t>
        <w:br/>
        <w:t xml:space="preserve">        La flûte est l'instrument harmoniquement le plus plastique de l'orchestre.</w:t>
      </w:r>
    </w:p>
    <w:p>
      <w:r>
        <w:rPr>
          <w:b/>
          <w:i w:val="0"/>
          <w:color w:val="1B5E20"/>
          <w:sz w:val="20"/>
        </w:rPr>
        <w:t>Fp (centroïde) = 1535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~1 700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 de formants fixes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 DE FORMANTS FIXES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o/u variable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 ±480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1 987 ±143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4 210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aeolian_and_ordinario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3 155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3 004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discolored_fingering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2 767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harmonic_fingering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4 016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jet_whistle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2 379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3 768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key_click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multiphonics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3 327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ordinario_quartertones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2 896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ordinario_to_aeolian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play_and_sing_unison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tongue_ram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5 566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2 035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whistle_tones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whistle_tones_sweeping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2 885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Δ=320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Δ=106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Δ=338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1B5E20"/>
        </w:rPr>
        <w:t>Flûte basse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bass_fl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chaud et soufflé, plus riche en harmoniques que la grande flûte.</w:t>
        <w:br/>
        <w:t xml:space="preserve">        F1=301 Hz dans la zone /u/ (profondeur). Timbre velouté avec une composante d'air caractéristique.</w:t>
        <w:br/>
        <w:t xml:space="preserve">        Fp=1 338 Hz capture la résonance principale du tuyau.</w:t>
      </w:r>
    </w:p>
    <w:p>
      <w:r>
        <w:rPr>
          <w:b/>
          <w:i w:val="0"/>
          <w:color w:val="1B5E20"/>
          <w:sz w:val="20"/>
        </w:rPr>
        <w:t>Fp (centroïde) = 1338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301 ±92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824 ±342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1 623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2 681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3 058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2 713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Δ=22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</w:tbl>
    <w:p/>
    <w:p>
      <w:pPr>
        <w:pStyle w:val="Heading2"/>
      </w:pPr>
      <w:r>
        <w:rPr>
          <w:color w:val="1B5E20"/>
        </w:rPr>
        <w:t>Flûte contrebasse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contrabass_fl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grave et breathy, à la limite du souffle perceptible.</w:t>
        <w:br/>
        <w:t xml:space="preserve">        F1=334 Hz (zone /u/). Timbre profond et enveloppant, souvent utilisé pour ses qualités texturales.</w:t>
        <w:br/>
        <w:t xml:space="preserve">        Instrument rare, principalement utilisé dans la musique contemporaine.</w:t>
      </w:r>
    </w:p>
    <w:p>
      <w:r>
        <w:rPr>
          <w:b/>
          <w:i w:val="0"/>
          <w:color w:val="1B5E20"/>
          <w:sz w:val="20"/>
        </w:rPr>
        <w:t>Fp (centroïde) = 1092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 ±95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1 082 ±287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1 853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2 422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1 421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Δ=134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Δ=85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1"/>
      </w:pPr>
      <w:r>
        <w:rPr>
          <w:color w:val="2E7D32"/>
        </w:rPr>
        <w:t>Anches doubles</w:t>
      </w:r>
    </w:p>
    <w:p>
      <w:pPr>
        <w:pStyle w:val="Heading2"/>
      </w:pPr>
      <w:r>
        <w:rPr>
          <w:color w:val="1B5E20"/>
        </w:rPr>
        <w:t>Hautbois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hautbo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nasal et pénétrant, grande projection. Variabilité importante entre sources :</w:t>
        <w:br/>
        <w:t xml:space="preserve">        Backus (1 300), Meyer/Giesler (~1 100), SOL2020 (1 460) — écart maximal 360 Hz. Cette divergence</w:t>
        <w:br/>
        <w:t xml:space="preserve">        s'explique par la dissociation entre F1 spectral strict (743 Hz, zone /å/) et le Fp (1 460 Hz,</w:t>
        <w:br/>
        <w:t xml:space="preserve">        zone de nasalité et d'intensité caractéristique du hautbois).</w:t>
        <w:br/>
        <w:t xml:space="preserve">        L'anche double produit un spectre riche avec une coloration vocale /a/ médium.</w:t>
      </w:r>
    </w:p>
    <w:p>
      <w:r>
        <w:rPr>
          <w:b/>
          <w:i w:val="0"/>
          <w:color w:val="1B5E20"/>
          <w:sz w:val="20"/>
        </w:rPr>
        <w:t>Fp (centroïde) = 1485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~1 300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~1 100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~2 800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~1 100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 (ah)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 ±378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1 460 ±452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3 177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å/a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blow_without_reed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3 725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5 545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2 422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4 404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discolored_fingering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2 379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3 704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double_trill_major_second_up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4 587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double_trill_minor_second_up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3 004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4 231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harmonic_fingering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3 994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key_click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3 004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kiss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4 285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lip_glissando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4 264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multiphonics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4 619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3 725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ordinario_quartertones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3 984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3 951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3 768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3 025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vibrato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4 393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1B5E20"/>
        </w:rPr>
        <w:t>Cor anglais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cor_angla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plus sombre et mélancolique que le hautbois. &lt;strong&gt;F1=452 Hz tombe dans le</w:t>
        <w:br/>
        <w:t xml:space="preserve">        cluster de convergence 450–502 Hz (zone /o/)&lt;/strong&gt; — ce qui explique sa fusion naturelle avec</w:t>
        <w:br/>
        <w:t xml:space="preserve">        le cor (457 Hz), le basson (502 Hz) et le violoncelle (499 Hz). Backus cite ~930 Hz mais correspond</w:t>
        <w:br/>
        <w:t xml:space="preserve">        vraisemblablement au Fp ou F2. Fp=1 135 Hz.</w:t>
      </w:r>
    </w:p>
    <w:p>
      <w:r>
        <w:rPr>
          <w:b/>
          <w:i w:val="0"/>
          <w:color w:val="1B5E20"/>
          <w:sz w:val="20"/>
        </w:rPr>
        <w:t>Fp (centroïde) = 1135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~930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å (aw)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 ±163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1 045 ±308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2 205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4 317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vibrato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Δ=564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Δ=50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Δ=47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</w:tbl>
    <w:p/>
    <w:p>
      <w:pPr>
        <w:pStyle w:val="Heading2"/>
      </w:pPr>
      <w:r>
        <w:rPr>
          <w:color w:val="1B5E20"/>
        </w:rPr>
        <w:t>Basson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bas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&lt;strong&gt;Découverte clé : correction majeure&lt;/strong&gt; — ancien F1=317 Hz (erreur de pipeline)</w:t>
        <w:br/>
        <w:t xml:space="preserve">        corrigé en 502 Hz. Accord unanime des 4 sources : Giesler (500) = Backus (440–500) = Meyer (~500) =</w:t>
        <w:br/>
        <w:t xml:space="preserve">        SOL2020 (502 Hz). Le basson est le &lt;em&gt;pivot timbral de l'orchestre&lt;/em&gt; (Meyer) avec</w:t>
        <w:br/>
        <w:t xml:space="preserve">        Δ=3 Hz avec le violoncelle — la doublure la plus parfaite du corpus. F1=502 Hz au cœur du</w:t>
        <w:br/>
        <w:t xml:space="preserve">        cluster de convergence /o/ (450–502 Hz).</w:t>
      </w:r>
    </w:p>
    <w:p>
      <w:r>
        <w:rPr>
          <w:b/>
          <w:i w:val="0"/>
          <w:color w:val="1B5E20"/>
          <w:sz w:val="20"/>
        </w:rPr>
        <w:t>Fp (centroïde) = 1079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 ±96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1 097 ±238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2 089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blow_without_reed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2 746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glissando_with_throat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4 317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harmonic_fingering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4 554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key_click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multiphonics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ordinario_quartertones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2 692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2 724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vibrato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 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Δ=50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Trompette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1B5E20"/>
        </w:rPr>
        <w:t>Contrebasson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contrebas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grave et bourdonnant, fondation des bois graves.</w:t>
        <w:br/>
        <w:t xml:space="preserve">        F1=226 Hz (zone /u/), identique au tuba basse. Fp=1 279 Hz.</w:t>
        <w:br/>
        <w:t xml:space="preserve">        Technique analysée : non-vibrato uniquement (pas d'ordinario dans la base SOL2020/Yan_Adds).</w:t>
        <w:br/>
        <w:t xml:space="preserve">        Son rôle harmonique est identique au tuba contrebasse.</w:t>
      </w:r>
    </w:p>
    <w:p>
      <w:r>
        <w:rPr>
          <w:b/>
          <w:i w:val="0"/>
          <w:color w:val="1B5E20"/>
          <w:sz w:val="20"/>
        </w:rPr>
        <w:t>Fp (centroïde) = 1279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 (non-vibrato)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 ±98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771 ±344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Δ=26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1"/>
      </w:pPr>
      <w:r>
        <w:rPr>
          <w:color w:val="2E7D32"/>
        </w:rPr>
        <w:t>Clarinettes</w:t>
      </w:r>
    </w:p>
    <w:p>
      <w:pPr>
        <w:pStyle w:val="Heading2"/>
      </w:pPr>
      <w:r>
        <w:rPr>
          <w:color w:val="1B5E20"/>
        </w:rPr>
        <w:t>Clarinette en Mib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clarinet_e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brillant et incisif, plus perçant que la clarinette Sib.</w:t>
        <w:br/>
        <w:t xml:space="preserve">        F1=678 Hz (zone /å/). La clarinette Mib est l'instrument le plus aigu de la famille.</w:t>
        <w:br/>
        <w:t xml:space="preserve">        Son spectre est dominé par les harmoniques impairs (tuyau cylindrique fermé),</w:t>
        <w:br/>
        <w:t xml:space="preserve">        mais moins marqué que la Sib car le registre aigu domine.</w:t>
      </w:r>
    </w:p>
    <w:p>
      <w:r>
        <w:rPr>
          <w:b/>
          <w:i w:val="0"/>
          <w:color w:val="1B5E20"/>
          <w:sz w:val="20"/>
        </w:rPr>
        <w:t>Fp (centroïde) = 1266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 ±211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1 540 ±360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2 849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å (aw)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aeolian-flatterzunge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3 930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3 531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Petite flûte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1 658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Δ=356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2"/>
      </w:pPr>
      <w:r>
        <w:rPr>
          <w:color w:val="1B5E20"/>
        </w:rPr>
        <w:t>Clarinette en Sib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clarinet_b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&lt;strong&gt;Découverte majeure : pas de formant fixe.&lt;/strong&gt;</w:t>
        <w:br/>
        <w:t xml:space="preserve">        Le pic spectral suit la fondamentale (ratio 1.0) ou le 3e harmonique (ratio 3.0) — dominance</w:t>
        <w:br/>
        <w:t xml:space="preserve">        des harmoniques impairs (tuyau cylindrique fermé). Backus (1 500 Hz) et Meyer (1 500 Hz)</w:t>
        <w:br/>
        <w:t xml:space="preserve">        capturent le registre clairon, Giesler (3 000–4 000 Hz) l'extrême aigu.</w:t>
        <w:br/>
        <w:t xml:space="preserve">        F1 spectral strict = 463 Hz (1er mode du tuyau cylindrique). Le Fp centroïde à 1 412 Hz</w:t>
        <w:br/>
        <w:t xml:space="preserve">        est 4.7× plus stable que F2. F2 varie de 549 Hz (chalumeau) à 2 638 Hz (registre aigu).</w:t>
      </w:r>
    </w:p>
    <w:p>
      <w:r>
        <w:rPr>
          <w:b/>
          <w:i w:val="0"/>
          <w:color w:val="1B5E20"/>
          <w:sz w:val="20"/>
        </w:rPr>
        <w:t>Fp (centroïde) = 1412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3 000–4 000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 ±478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1 804 ±463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2 485 ±895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aeolian_and_ordinario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1 421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3 671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3 499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flatterzunge_high_register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5 222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5 943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3 628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key_click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multiphonics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2 681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ordinario_high_register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5 254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2 659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3 316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3 671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ordinario_quartertones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2 875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Δ=444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Δ=647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1B5E20"/>
        </w:rPr>
        <w:t>Clarinette basse en Sib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clarinet_bas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profond et velouté, riche dans le grave.</w:t>
        <w:br/>
        <w:t xml:space="preserve">        F1=323 Hz (zone /u/). Le registre chalumeau possède une couleur très distinctive.</w:t>
        <w:br/>
        <w:t xml:space="preserve">        Comportement analogue à la clarinette Sib mais transposé d'une octave vers le grave.</w:t>
      </w:r>
    </w:p>
    <w:p>
      <w:r>
        <w:rPr>
          <w:b/>
          <w:i w:val="0"/>
          <w:color w:val="1B5E20"/>
          <w:sz w:val="20"/>
        </w:rPr>
        <w:t>Fp (centroïde) = 1204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 ±87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905 ±389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1 716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3 704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Δ=107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Δ=407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1B5E20"/>
        </w:rPr>
        <w:t>Clarinette contrebasse en Sib [Yan_Adds]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is_clarinet_c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extrêmement grave, puissant et bourdonnant.</w:t>
        <w:br/>
        <w:t xml:space="preserve">        F1=323 Hz identique à la clarinette basse, mais F2=937 Hz montre une résonance plus</w:t>
        <w:br/>
        <w:t xml:space="preserve">        développée dans le medium. Timbre massif et enveloppant. Instrument rare.</w:t>
      </w:r>
    </w:p>
    <w:p>
      <w:r>
        <w:rPr>
          <w:b/>
          <w:i w:val="0"/>
          <w:color w:val="1B5E20"/>
          <w:sz w:val="20"/>
        </w:rPr>
        <w:t>Fp (centroïde) = 1090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 ±95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 ±290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1 791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 (toutes techniques)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Δ=97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Δ=74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