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V. Les Cordes</w:t>
      </w:r>
    </w:p>
    <w:p>
      <w:r>
        <w:rPr>
          <w:b/>
        </w:rPr>
        <w:t xml:space="preserve">Découverte clé : </w:t>
      </w:r>
      <w:r>
        <w:t>Violoncelle (499 Hz) + Basson (502 Hz) = Δ=3 Hz — doublure la plus parfaite du corpus. Cluster /o/ : Cor (457), Trombone (491), Basson (502), Violoncelle (499).</w:t>
      </w:r>
    </w:p>
    <w:p>
      <w:pPr>
        <w:pStyle w:val="Heading1"/>
      </w:pPr>
      <w:r>
        <w:rPr>
          <w:color w:val="1565C0"/>
        </w:rPr>
        <w:t>Cordes solistes</w:t>
      </w:r>
    </w:p>
    <w:p>
      <w:pPr>
        <w:pStyle w:val="Heading2"/>
      </w:pPr>
      <w:r>
        <w:rPr>
          <w:color w:val="1565C0"/>
        </w:rPr>
        <w:t>Violon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expressif, extrêmement large tessiture spectrale.</w:t>
        <w:br/>
        <w:t xml:space="preserve">        &lt;strong&gt;F1 spectral strict = 506 Hz (zone /o/) mais très variable (σ=235 Hz).&lt;/strong&gt;</w:t>
        <w:br/>
        <w:t xml:space="preserve">        F2 extrêmement instable (σ=651 Hz). Le Fp centroïde à &lt;strong&gt;893 Hz (σ=92 Hz)&lt;/strong&gt;</w:t>
        <w:br/>
        <w:t xml:space="preserve">        est 7.1× plus stable et correspond au Hauptformant de Meyer (800–1 200 Hz, zone /a/).</w:t>
        <w:br/>
        <w:t xml:space="preserve">        Sources divergentes : Backus (2 000–3 000) capturait une zone de brillance haute ; Giesler</w:t>
        <w:br/>
        <w:t xml:space="preserve">        et Meyer convergent sur 1 000–1 200 Hz. SOL2020 Fp=893 Hz confirme la zone /a/ comme</w:t>
        <w:br/>
        <w:t xml:space="preserve">        signature timbrale perceptive du violon.</w:t>
      </w:r>
    </w:p>
    <w:p>
      <w:r>
        <w:rPr>
          <w:b/>
          <w:i w:val="0"/>
          <w:color w:val="1B5E20"/>
          <w:sz w:val="20"/>
        </w:rPr>
        <w:t>Fp (centroïde) = 893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~2 000–3 000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~2 800–3 400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 (eh)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 ±235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 ±651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2 532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3 478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Fp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±92 (Fp)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5 243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4 716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4 220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4 425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4 705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4 210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4 414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3 725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4 253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4 737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4 479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4 371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4 651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4 296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Δ=567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Δ=461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 (Fp)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565C0"/>
        </w:rPr>
        <w:t>Violon+sourdine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0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s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doux, atténuation des harmoniques aigus. F1 peut descendre ou rester stable selon la sourdine. Timbre plus mat et intimiste.</w:t>
      </w:r>
    </w:p>
    <w:p/>
    <w:p>
      <w:pPr>
        <w:pStyle w:val="Heading2"/>
      </w:pPr>
      <w:r>
        <w:rPr>
          <w:color w:val="1565C0"/>
        </w:rPr>
        <w:t>Violon+sourd.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piom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 en plomb. Amortissement maximum, son extrêmement étouffé. Utilisée en musique contemporaine pour effets timbraux extrêmes.</w:t>
      </w:r>
    </w:p>
    <w:p/>
    <w:p>
      <w:pPr>
        <w:pStyle w:val="Heading2"/>
      </w:pPr>
      <w:r>
        <w:rPr>
          <w:color w:val="1565C0"/>
        </w:rPr>
        <w:t>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sombre et mélancolique que le violon.</w:t>
        <w:br/>
        <w:t xml:space="preserve">        &lt;strong&gt;F1=369 Hz (zone /å/).&lt;/strong&gt; Giesler note une grande dépendance au registre</w:t>
        <w:br/>
        <w:t xml:space="preserve">        (220–600 Hz). Meyer situe le formant principal dans la zone /o/–/a/ (400–1 200 Hz).</w:t>
        <w:br/>
        <w:t xml:space="preserve">        F1 SOL2020 (369 Hz) est plus stable que le violon. L'alto est acoustiquement dans la zone</w:t>
        <w:br/>
        <w:t xml:space="preserve">        de transition /å/–/o/, ce qui lui confère sa couleur caractéristique — ni la brillance du</w:t>
        <w:br/>
        <w:t xml:space="preserve">        violon ni la plénitude du violoncelle.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registre-dépendant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~400–600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o–a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 ±14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766 ±217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1 282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1 957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å/a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3 521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3 811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3 467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3 208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565C0"/>
        </w:rPr>
        <w:t>Alto+sourdine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s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voilé, atténuation des partiels médiums. Timbre plus intimiste et introspectif.</w:t>
      </w:r>
    </w:p>
    <w:p/>
    <w:p>
      <w:pPr>
        <w:pStyle w:val="Heading2"/>
      </w:pPr>
      <w:r>
        <w:rPr>
          <w:color w:val="1565C0"/>
        </w:rPr>
        <w:t>Alto+sourd.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piom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maximal, utilisée pour les effets timbraux extrêmes.</w:t>
      </w:r>
    </w:p>
    <w:p/>
    <w:p>
      <w:pPr>
        <w:pStyle w:val="Heading2"/>
      </w:pPr>
      <w:r>
        <w:rPr>
          <w:color w:val="1565C0"/>
        </w:rPr>
        <w:t>Violoncelle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ce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chaud et expressif, grande profondeur harmonique.</w:t>
        <w:br/>
        <w:t xml:space="preserve">        &lt;strong&gt;F1=499 Hz dans le cluster de convergence 450–502 Hz (zone /o/).&lt;/strong&gt;</w:t>
        <w:br/>
        <w:t xml:space="preserve">        Accord remarquable entre toutes les sources : Giesler (300–500), Meyer (~500),</w:t>
        <w:br/>
        <w:t xml:space="preserve">        Yan_Adds (499 Hz). Le violoncelle est le &lt;em&gt;centre harmonique de l'orchestre&lt;/em&gt; selon</w:t>
        <w:br/>
        <w:t xml:space="preserve">        Meyer — sa convergence avec le basson (Δ=3 Hz) est la plus parfaite du corpus.</w:t>
        <w:br/>
        <w:t xml:space="preserve">        Convergence avec le cor (Δ=42 Hz) et le trombone (Δ=8 Hz).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600–900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~500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 ±155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1 304 ±576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2 670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4 877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5 039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 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Δ=47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</w:tbl>
    <w:p/>
    <w:p>
      <w:pPr>
        <w:pStyle w:val="Heading2"/>
      </w:pPr>
      <w:r>
        <w:rPr>
          <w:color w:val="1565C0"/>
        </w:rPr>
        <w:t>Violoncelle+sourdine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s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légèrement modifié. Son plus mat, projection réduite. Atténuation des harmoniques aigus.</w:t>
      </w:r>
    </w:p>
    <w:p/>
    <w:p>
      <w:pPr>
        <w:pStyle w:val="Heading2"/>
      </w:pPr>
      <w:r>
        <w:rPr>
          <w:color w:val="1565C0"/>
        </w:rPr>
        <w:t>Violoncelle+sourd.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piom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 des partiels aigus.</w:t>
      </w:r>
    </w:p>
    <w:p/>
    <w:p>
      <w:pPr>
        <w:pStyle w:val="Heading2"/>
      </w:pPr>
      <w:r>
        <w:rPr>
          <w:color w:val="1565C0"/>
        </w:rPr>
        <w:t>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ontreba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grave, rôle de fondation harmonique de l'orchestre.</w:t>
        <w:br/>
        <w:t xml:space="preserve">        &lt;strong&gt;F1=200 Hz (zone /u/)&lt;/strong&gt; — la résonance fondamentale de la caisse.</w:t>
        <w:br/>
        <w:t xml:space="preserve">        Giesler note une zone basse 70–250 Hz avec un formant secondaire à 400 Hz.</w:t>
        <w:br/>
        <w:t xml:space="preserve">        Grande variabilité : la contrebasse est l'instrument à cordes le moins formulable</w:t>
        <w:br/>
        <w:t xml:space="preserve">        par un F1 unique.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70–250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 (secondaire)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u/o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 ±169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593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5 792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Δ=49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Δ=123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565C0"/>
        </w:rPr>
        <w:t>Contrebasse+sourdine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s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étouffé. La sourdine affecte principalement les harmoniques médiums.</w:t>
      </w:r>
    </w:p>
    <w:p/>
    <w:p>
      <w:pPr>
        <w:pStyle w:val="Heading1"/>
      </w:pPr>
      <w:r>
        <w:rPr>
          <w:color w:val="1565C0"/>
        </w:rPr>
        <w:t>Cordes d'ensemble</w:t>
      </w:r>
    </w:p>
    <w:p>
      <w:pPr>
        <w:pStyle w:val="Heading2"/>
      </w:pPr>
      <w:r>
        <w:rPr>
          <w:color w:val="1565C0"/>
        </w:rPr>
        <w:t>Ensemble de violons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En ensemble, le violon développe une &lt;strong&gt;zone /e/ caractéristique</w:t>
        <w:br/>
        <w:t xml:space="preserve">        à F1=1 556 Hz&lt;/strong&gt; — bien plus haute qu'en solo (506 Hz / 893 Hz Fp).</w:t>
        <w:br/>
        <w:t xml:space="preserve">        Cet effet d'ensemble (fusion des partiels individuels) explique la brillance caractéristique</w:t>
        <w:br/>
        <w:t xml:space="preserve">        des sections de violons dans l'orchestre. La compression formantique de section est ici</w:t>
        <w:br/>
        <w:t xml:space="preserve">        clairement démontrée par les données.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1 556 ±289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2 895 ±451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4 321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 (eh)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Δ=96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Δ=202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Petite flûte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Δ=780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Mib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1 747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Δ=191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_s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Atténuation collective, timbre soyeux et unifié.</w:t>
      </w:r>
    </w:p>
    <w:p/>
    <w:p>
      <w:pPr>
        <w:pStyle w:val="Heading2"/>
      </w:pPr>
      <w:r>
        <w:rPr>
          <w:color w:val="1565C0"/>
        </w:rPr>
        <w:t>Ensemble de violoncelles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ensemble = 587 Hz (zone /å/–/o/), légèrement plus haut que le</w:t>
        <w:br/>
        <w:t xml:space="preserve">        solo (499 Hz). La section violoncelle conserve la couleur pleine /o/ tout en gagnant en</w:t>
        <w:br/>
        <w:t xml:space="preserve">        clarté collective. Elle reste dans la zone de convergence du cluster /o/.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587 ±87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1 193 ±211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2 087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å/o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Δ=135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Δ=85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Δ=130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violoncelles+sourdine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_s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Conservation de la couleur /o/ avec une projection réduite.</w:t>
      </w:r>
    </w:p>
    <w:p/>
    <w:p>
      <w:pPr>
        <w:pStyle w:val="Heading2"/>
      </w:pPr>
      <w:r>
        <w:rPr>
          <w:color w:val="1565C0"/>
        </w:rPr>
        <w:t>Ensemble de contrebasses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e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Technique non-vibrato (seule disponible dans la base).</w:t>
        <w:br/>
        <w:t xml:space="preserve">        F1=350 Hz (zone /u/–/o/), plus haut que le solo (200 Hz). La section de contrebasses</w:t>
        <w:br/>
        <w:t xml:space="preserve">        développe une présence harmonique plus articulée que le soliste.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 (non-vibrato)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 ±112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891 ±201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1 823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u/o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