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Référence Formantique de l'Orchestre</w:t>
      </w:r>
    </w:p>
    <w:p>
      <w:r>
        <w:rPr>
          <w:b w:val="0"/>
          <w:i/>
          <w:sz w:val="24"/>
        </w:rPr>
        <w:t>Étude quantitative des formants spectraux instrumentaux</w:t>
      </w:r>
    </w:p>
    <w:p>
      <w:r>
        <w:rPr>
          <w:b w:val="0"/>
          <w:i w:val="0"/>
          <w:color w:val="646464"/>
          <w:sz w:val="20"/>
        </w:rPr>
        <w:t>5 914 échantillons · 30 instruments · Mars 2026 · Pipeline v22 validé</w:t>
      </w:r>
    </w:p>
    <w:p/>
    <w:p>
      <w:pPr>
        <w:pStyle w:val="Heading1"/>
      </w:pPr>
      <w:r>
        <w:rPr>
          <w:color w:val="1A237E"/>
        </w:rPr>
        <w:t>I. Introduction et Méthodologie</w:t>
      </w:r>
    </w:p>
    <w:p>
      <w:r>
        <w:rPr>
          <w:b w:val="0"/>
          <w:i w:val="0"/>
          <w:sz w:val="20"/>
        </w:rPr>
        <w:t>Ce document constitue la référence quantitative la plus complète disponible</w:t>
        <w:br/>
        <w:t>pour l'analyse formantique des instruments de l'orchestre. Il examine comment</w:t>
        <w:br/>
        <w:t>les doublures orchestrales classiques s'expliquent par l'assemblage complémentaire</w:t>
        <w:br/>
        <w:t>des formants spectraux instrumentaux. Les formants sont les zones de résonance</w:t>
        <w:br/>
        <w:t>définissant le timbre : lorsque deux instruments sont doublés, leurs spectres se</w:t>
        <w:br/>
        <w:t>combinent pour créer une couleur timbrale homogène ou complémentaire.</w:t>
      </w:r>
    </w:p>
    <w:p>
      <w:r>
        <w:rPr>
          <w:b w:val="0"/>
          <w:i w:val="0"/>
          <w:sz w:val="20"/>
        </w:rPr>
        <w:t>L'analyse repose sur 5 914 échantillons professionnels couvrant 30 instruments</w:t>
        <w:br/>
        <w:t>de l'orchestre, validée contre quatre sources académiques indépendantes.</w:t>
        <w:br/>
        <w:t>Le taux de concordance global est de 93 % (27/29 instruments comparables).</w:t>
      </w:r>
    </w:p>
    <w:p>
      <w:pPr>
        <w:pStyle w:val="Heading2"/>
      </w:pPr>
      <w:r>
        <w:rPr>
          <w:color w:val="2E7D32"/>
        </w:rPr>
        <w:t>Sources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Titre / Base</w:t>
            </w:r>
          </w:p>
        </w:tc>
        <w:tc>
          <w:tcPr>
            <w:tcW w:type="dxa" w:w="3118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Éditeur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Acoustical Foundations of Music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Référence historique, mesures ciblées cuivres et bois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W.W. Norton &amp; Co.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Instrumentation: Ein Hand- und Lehrbuch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Mesures détaillées, associations vocaliques explicites, 13 instruments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Breitkopf &amp; Härtel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Acoustics and the Performance of Music (5e éd.)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 acoustique avec couleurs vocales, zones vocaliques définies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Springer-Verlag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IRCAM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Studio On Line / Orchestre de Lyon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 instruments solistes, 2 391 échantillons sustained analysés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IRCAM / Orchestre de Lyon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Extension personnelle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instruments supplémentaires, 1 646 échantillons (ensembles, bois auxiliaires, cuivres graves)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 propre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McCarty/CCRMA (2003)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Vowel space chart for orchestral instruments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Référence directionnelle — limitations d'exactitude reconnues par l'auteur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CCRMA Stanford</w:t>
            </w:r>
          </w:p>
        </w:tc>
      </w:tr>
    </w:tbl>
    <w:p/>
    <w:p>
      <w:pPr>
        <w:pStyle w:val="Heading2"/>
      </w:pPr>
      <w:r>
        <w:rPr>
          <w:color w:val="2E7D32"/>
        </w:rPr>
        <w:t>Méthodologie d'extraction formantique</w:t>
      </w:r>
    </w:p>
    <w:p>
      <w:r>
        <w:rPr>
          <w:b/>
        </w:rPr>
        <w:t xml:space="preserve">Techniques INCLUSES : </w:t>
      </w:r>
      <w:r>
        <w:t>ordinario, vibrato, non-vibrato, arco, flautando — dynamiques pp à ff.</w:t>
      </w:r>
    </w:p>
    <w:p>
      <w:r>
        <w:rPr>
          <w:b/>
        </w:rPr>
        <w:t xml:space="preserve">Techniques EXCLUES : </w:t>
      </w:r>
      <w:r>
        <w:t>pizzicato, col legno, tremolo, trilles, harmoniques artificiels, multiphoniques, flutter tongue, sourdines (traitées séparément), glissandi.</w:t>
      </w:r>
    </w:p>
    <w:p>
      <w:pPr>
        <w:pStyle w:val="Heading3"/>
      </w:pPr>
      <w:r>
        <w:t>Paramètres d'analyse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65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 / Description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FFT Size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4 096 samples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Sample Rate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44 100 Hz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Résolution fréquentielle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~10,8 Hz/bin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Plage analysée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100–3 000 Hz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Algorithme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scipy.signal.find_peaks — pic le plus proéminent (pas premier pic)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Hauteur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10 % de l'amplitude maximale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Distance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bins (~50 Hz)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Proéminence minimale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5 % de l'amplitude maximale</w:t>
            </w:r>
          </w:p>
        </w:tc>
      </w:tr>
    </w:tbl>
    <w:p/>
    <w:p>
      <w:pPr>
        <w:pStyle w:val="Heading2"/>
      </w:pPr>
      <w:r>
        <w:rPr>
          <w:color w:val="1B5E20"/>
        </w:rPr>
        <w:t>Le Formant Principal (Fp) par centroïde spectral</w:t>
      </w:r>
    </w:p>
    <w:p>
      <w:r>
        <w:rPr>
          <w:b w:val="0"/>
          <w:i w:val="0"/>
          <w:sz w:val="20"/>
        </w:rPr>
        <w:t>Pour les instruments à large tessiture, F1 (premier pic spectral) est extrêmement instable d'un registre à l'autre. La mesure Fp — centroïde spectral pondéré en énergie dans une bande fréquentielle optimisée par instrument — résout ce problème.</w:t>
      </w:r>
    </w:p>
    <w:p>
      <w:r>
        <w:rPr>
          <w:b/>
          <w:i w:val="0"/>
          <w:sz w:val="20"/>
        </w:rPr>
        <w:t>Fp = Σ(fᵢ × Aᵢ) / Σ(Aᵢ)  où fᵢ est la fréquence du bin i, Aᵢ son amplitude, et la somme porte sur une bande choisie par instrument.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 (Hz)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σ Fp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85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σ F2</w:t>
            </w:r>
          </w:p>
        </w:tc>
        <w:tc>
          <w:tcPr>
            <w:tcW w:type="dxa" w:w="113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Gain stabilité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7.1×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1 324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10.4×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4.7×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1 106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6.5×</w:t>
            </w:r>
          </w:p>
        </w:tc>
      </w:tr>
    </w:tbl>
    <w:p/>
    <w:p>
      <w:pPr>
        <w:pStyle w:val="Heading2"/>
      </w:pPr>
      <w:r>
        <w:rPr>
          <w:color w:val="2E7D32"/>
        </w:rPr>
        <w:t>Correspondance voyelles–fréquences (Meyer 2009)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1134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Fréquence (Hz)</w:t>
            </w:r>
          </w:p>
        </w:tc>
        <w:tc>
          <w:tcPr>
            <w:tcW w:type="dxa" w:w="1417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Perception</w:t>
            </w:r>
          </w:p>
        </w:tc>
        <w:tc>
          <w:tcPr>
            <w:tcW w:type="dxa" w:w="5783"/>
            <w:shd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Instruments représentatifs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u (oo)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200–400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Profondeur, gravité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Tuba basse (249), Contrebasse (200), Contrebasson (226), Flûte basse (301)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o (oh)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400–600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Plénitude, rondeur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 (457), Tuba contrebasse (471), Contrebasson (478), Trombone (491), Violoncelle (499), Basson (502), Cor anglais (452), Vcl-Ens (587)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å (aw)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~600–800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Transition, chaleur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Vcl-Ens sourdine (587), Alto sourdine (683), Flûte basse (737)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a (ah)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800–1 250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Puissance, présence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Trb. basse (894), Cl. basse (909), Cl. Sib (1 016), Cor anglais Fp (1 135), Trompette (1 046, Fp), Alto-Ens (1 190), Basson Fp (1 079)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e (eh)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1 250–2 600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Clarté, brillance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Flûte (1 354), Hautbois (1 460), Vln-Ens (1 556), Cl. Mib (1 747), Piccolo (2 336), Violon Fp (893)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8"/>
              </w:rPr>
              <w:t>i (ee)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 2 600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Brillance extrême, stridence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Petite flûte (2 336 ≈ limite), Trompette+sourdine harmon (2 358)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