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IV. Les Saxophones</w:t>
      </w:r>
    </w:p>
    <w:p>
      <w:r>
        <w:rPr>
          <w:b/>
        </w:rPr>
        <w:t xml:space="preserve">Corpus disponible : </w:t>
      </w:r>
      <w:r>
        <w:t xml:space="preserve">saxophone alto uniquement (SOL2020 IRCAM). </w:t>
      </w:r>
      <w:r>
        <w:rPr>
          <w:b/>
        </w:rPr>
        <w:t xml:space="preserve">Note remarquable : </w:t>
      </w:r>
      <w:r>
        <w:t>Giesler (1985) place le saxophone ténor dans le cluster /o/ (400–600 Hz) avec Basson, Cor et Trombone.</w:t>
      </w:r>
    </w:p>
    <w:p>
      <w:pPr>
        <w:pStyle w:val="Heading2"/>
      </w:pPr>
      <w:r>
        <w:rPr>
          <w:color w:val="AD1457"/>
        </w:rPr>
        <w:t>Saxophone 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x_al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chaud et expressif, grande flexibilité timbrale et dynamique.</w:t>
        <w:br/>
        <w:t xml:space="preserve">        &lt;strong&gt;F1=398 Hz (zone /o/)&lt;/strong&gt; — le saxophone alto est au bord du cluster de</w:t>
        <w:br/>
        <w:t xml:space="preserve">        convergence 450–502 Hz, avec un F1 légèrement inférieur. Tuyau conique (comme le hautbois</w:t>
        <w:br/>
        <w:t xml:space="preserve">        et le basson) produisant un spectre riche en harmoniques pairs et impairs.</w:t>
        <w:br/>
        <w:t xml:space="preserve">        Fp centroïde à 1 440 Hz (zone /e/). Le saxophone alto est le seul saxophone présent</w:t>
        <w:br/>
        <w:t xml:space="preserve">        dans la base SOL2020 IRCAM. Les saxophones soprano, ténor et baryton sont absents du corpus.</w:t>
        <w:br/>
        <w:t xml:space="preserve">        &lt;br/&gt;</w:t>
        <w:br/>
        <w:t xml:space="preserve">        &lt;strong&gt;Découverte :&lt;/strong&gt; malgré F1=398 Hz légèrement en-deçà du cluster /o/ (452–502 Hz),</w:t>
        <w:br/>
        <w:t xml:space="preserve">        le saxophone alto est acoustiquement plus proche de la zone /o/ que de /u/,</w:t>
        <w:br/>
        <w:t xml:space="preserve">        et sa fusion avec le basson (Δ=104 Hz) reste exploitable orchestralement.</w:t>
      </w:r>
    </w:p>
    <w:p>
      <w:r>
        <w:rPr>
          <w:b/>
          <w:i w:val="0"/>
          <w:color w:val="1B5E20"/>
          <w:sz w:val="20"/>
        </w:rPr>
        <w:t>Fp (centroïde) = 1440 Hz</w:t>
      </w:r>
    </w:p>
    <w:p>
      <w:pPr>
        <w:pStyle w:val="Heading3"/>
      </w:pPr>
      <w:r>
        <w:t>Valeurs de référence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~1 000–1 200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~1 100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 ±89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1 217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2 355 ±498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aeolian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2 746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backwards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bisbigliando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blow_without_reed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3 015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2 735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discolored_fingering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double_tonguing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exploding_slap_pitched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flatterzunge_to_ordinario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2 724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2 530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harmonic_fingering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3 208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harmonics_glissando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3 370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key_click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kiss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2 272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move_bell_from_down_to_up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move_bell_from_left_to_right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multiphonics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2 756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ordinario_high_register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ordinario_quartertones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ordinario_to_flatterzunge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1 733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play_and_sing_glissando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play_and_sing_min_second_up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play_and_sing_unison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slap_unpitched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2 756</w:t>
            </w:r>
          </w:p>
        </w:tc>
      </w:tr>
    </w:tbl>
    <w:p>
      <w:r>
        <w:rPr>
          <w:b/>
          <w:color w:val="E65100"/>
        </w:rPr>
        <w:t xml:space="preserve">Note — Saxophone ténor dans le cluster /o/ : </w:t>
      </w:r>
      <w:r>
        <w:t>Giesler (1985) cite explicitement le saxophone ténor parmi les instruments du cluster 400–600 Hz, aux côtés du Basson, Cor et Trombone.</w:t>
      </w:r>
    </w:p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13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701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Δ=59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Δ=101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Δ=618 Hz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