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(F1=495 Hz) sont dans la zone /o/. Convergences clés : cor anglais + clarinette Sib Δ=11 Hz (452 vs 463 Hz), basson + violon Δ=11 Hz (495 vs 506 Hz), cor anglais + cor Δ=64 Hz (452 vs 388 Hz).</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876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876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(F1=1 109 Hz, zone /e/). Backus cite ~3 400 Hz correspondant au Fp ou au sommet de la courbe de rayonnement. Fp non calculé dans le corpus actuel. La variation dynamique est marquée : la piccolo projette dans les aigu extrêmes en forte.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1 109</w:t>
            </w:r>
          </w:p>
        </w:tc>
        <w:tc>
          <w:tcPr>
            <w:tcW w:type="dxa" w:w="907"/>
          </w:tcPr>
          <w:p>
            <w:pPr>
              <w:jc w:val="center"/>
            </w:pPr>
            <w:r/>
            <w:r>
              <w:rPr>
                <w:b w:val="0"/>
                <w:sz w:val="18"/>
              </w:rPr>
              <w:t>743</w:t>
            </w:r>
          </w:p>
        </w:tc>
        <w:tc>
          <w:tcPr>
            <w:tcW w:type="dxa" w:w="1020"/>
          </w:tcPr>
          <w:p>
            <w:pPr>
              <w:jc w:val="center"/>
            </w:pPr>
            <w:r/>
            <w:r>
              <w:rPr>
                <w:b w:val="0"/>
                <w:sz w:val="18"/>
              </w:rPr>
              <w:t>Δ=366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1 109</w:t>
            </w:r>
          </w:p>
        </w:tc>
        <w:tc>
          <w:tcPr>
            <w:tcW w:type="dxa" w:w="907"/>
          </w:tcPr>
          <w:p>
            <w:pPr>
              <w:jc w:val="center"/>
            </w:pPr>
            <w:r/>
            <w:r>
              <w:rPr>
                <w:b w:val="0"/>
                <w:sz w:val="18"/>
              </w:rPr>
              <w:t>506</w:t>
            </w:r>
          </w:p>
        </w:tc>
        <w:tc>
          <w:tcPr>
            <w:tcW w:type="dxa" w:w="1020"/>
          </w:tcPr>
          <w:p>
            <w:pPr>
              <w:jc w:val="center"/>
            </w:pPr>
            <w:r/>
            <w:r>
              <w:rPr>
                <w:b w:val="0"/>
                <w:sz w:val="18"/>
              </w:rPr>
              <w:t>Δ=603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F1 spectral strict = 743 Hz (zone /å/). Écart entre sources : Backus (~1 700 Hz) vs SOL2020 (743 Hz strict, Fp=1 535 Hz). Le Fp centroïde à 1 535 Hz est plus stable que F1 (σ F1=480 Hz vs σ Fp≈150 Hz). La flûte est l'instrument harmoniquement le plus plastique de l'orchestre.</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743</w:t>
            </w:r>
          </w:p>
        </w:tc>
        <w:tc>
          <w:tcPr>
            <w:tcW w:type="dxa" w:w="907"/>
          </w:tcPr>
          <w:p>
            <w:pPr>
              <w:jc w:val="center"/>
            </w:pPr>
            <w:r/>
            <w:r>
              <w:rPr>
                <w:b w:val="0"/>
                <w:sz w:val="18"/>
              </w:rPr>
              <w:t>463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301</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1 593</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37</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172</w:t>
            </w:r>
          </w:p>
        </w:tc>
        <w:tc>
          <w:tcPr>
            <w:tcW w:type="dxa" w:w="1020"/>
          </w:tcPr>
          <w:p>
            <w:pPr>
              <w:jc w:val="center"/>
            </w:pPr>
            <w:r/>
            <w:r>
              <w:rPr>
                <w:b w:val="0"/>
                <w:sz w:val="18"/>
              </w:rPr>
              <w:t>Δ=162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226</w:t>
            </w:r>
          </w:p>
        </w:tc>
        <w:tc>
          <w:tcPr>
            <w:tcW w:type="dxa" w:w="1020"/>
          </w:tcPr>
          <w:p>
            <w:pPr>
              <w:jc w:val="center"/>
            </w:pPr>
            <w:r/>
            <w:r>
              <w:rPr>
                <w:b w:val="0"/>
                <w:sz w:val="18"/>
              </w:rPr>
              <w:t>Δ=108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461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4613"/>
                    </a:xfrm>
                    <a:prstGeom prst="rect"/>
                  </pic:spPr>
                </pic:pic>
              </a:graphicData>
            </a:graphic>
          </wp:inline>
        </w:drawing>
      </w:r>
    </w:p>
    <w:p>
      <w:r>
        <w:rPr>
          <w:b w:val="0"/>
          <w:i/>
          <w:sz w:val="20"/>
        </w:rPr>
        <w:t>Son plus sombre et mélancolique que le hautbois. F1=452 Hz tombe dans la zone /o/ — ce qui explique sa convergence naturelle avec le cor (F1=388 Hz, Δ=64 Hz), le basson (F1=495 Hz, Δ=43 Hz) et la clarinette Sib (F1=463 Hz, Δ=11 Hz). Backus cite ~930 Hz correspondant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991</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388</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495</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205</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463</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Pivot timbral de l'orchestre (Meyer). F1=495 Hz au cœur de la zone /o/. Accord unanime des 4 sources : Giesler (500) = Backus (440–500) = Meyer (~500) = SOL2020 (495 Hz). Convergences clés : Δ=11 Hz avec le violon (F1=506 Hz), Δ=43 Hz avec le cor anglais (F1=452 Hz), Δ=107 Hz avec le cor (F1=388 Hz). Fp=1 079 Hz.</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495</w:t>
            </w:r>
          </w:p>
        </w:tc>
        <w:tc>
          <w:tcPr>
            <w:tcW w:type="dxa" w:w="907"/>
          </w:tcPr>
          <w:p>
            <w:pPr>
              <w:jc w:val="center"/>
            </w:pPr>
            <w:r/>
            <w:r>
              <w:rPr>
                <w:b w:val="0"/>
                <w:sz w:val="18"/>
              </w:rPr>
              <w:t>506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495</w:t>
            </w:r>
          </w:p>
        </w:tc>
        <w:tc>
          <w:tcPr>
            <w:tcW w:type="dxa" w:w="907"/>
          </w:tcPr>
          <w:p>
            <w:pPr>
              <w:jc w:val="center"/>
            </w:pPr>
            <w:r/>
            <w:r>
              <w:rPr>
                <w:b w:val="0"/>
                <w:sz w:val="18"/>
              </w:rPr>
              <w:t>452</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495</w:t>
            </w:r>
          </w:p>
        </w:tc>
        <w:tc>
          <w:tcPr>
            <w:tcW w:type="dxa" w:w="907"/>
          </w:tcPr>
          <w:p>
            <w:pPr>
              <w:jc w:val="center"/>
            </w:pPr>
            <w:r/>
            <w:r>
              <w:rPr>
                <w:b w:val="0"/>
                <w:sz w:val="18"/>
              </w:rPr>
              <w:t>388</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495</w:t>
            </w:r>
          </w:p>
        </w:tc>
        <w:tc>
          <w:tcPr>
            <w:tcW w:type="dxa" w:w="907"/>
          </w:tcPr>
          <w:p>
            <w:pPr>
              <w:jc w:val="center"/>
            </w:pPr>
            <w:r/>
            <w:r>
              <w:rPr>
                <w:b w:val="0"/>
                <w:sz w:val="18"/>
              </w:rPr>
              <w:t>237</w:t>
            </w:r>
          </w:p>
        </w:tc>
        <w:tc>
          <w:tcPr>
            <w:tcW w:type="dxa" w:w="1020"/>
          </w:tcPr>
          <w:p>
            <w:pPr>
              <w:jc w:val="center"/>
            </w:pPr>
            <w:r/>
            <w:r>
              <w:rPr>
                <w:b w:val="0"/>
                <w:sz w:val="18"/>
              </w:rPr>
              <w:t>Δ=258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et tuba contrebasse — unisson formantique parfait entre ces trois instruments de différentes familles. Fp=1 279 Hz. Technique analysée : non-vibrato uniquement (pas d'ordinario dans la base SOL2020/Yan_Adds).</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106</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38409"/>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38409"/>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2 929</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1 109</w:t>
            </w:r>
          </w:p>
        </w:tc>
        <w:tc>
          <w:tcPr>
            <w:tcW w:type="dxa" w:w="1020"/>
          </w:tcPr>
          <w:p>
            <w:pPr>
              <w:jc w:val="center"/>
            </w:pPr>
            <w:r/>
            <w:r>
              <w:rPr>
                <w:b w:val="0"/>
                <w:sz w:val="18"/>
              </w:rPr>
              <w:t>Δ=431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506</w:t>
            </w:r>
          </w:p>
        </w:tc>
        <w:tc>
          <w:tcPr>
            <w:tcW w:type="dxa" w:w="1020"/>
          </w:tcPr>
          <w:p>
            <w:pPr>
              <w:jc w:val="center"/>
            </w:pPr>
            <w:r/>
            <w:r>
              <w:rPr>
                <w:b w:val="0"/>
                <w:sz w:val="18"/>
              </w:rPr>
              <w:t>Δ=172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463</w:t>
            </w:r>
          </w:p>
        </w:tc>
        <w:tc>
          <w:tcPr>
            <w:tcW w:type="dxa" w:w="907"/>
          </w:tcPr>
          <w:p>
            <w:pPr>
              <w:jc w:val="center"/>
            </w:pPr>
            <w:r/>
            <w:r>
              <w:rPr>
                <w:b w:val="0"/>
                <w:sz w:val="18"/>
              </w:rPr>
              <w:t>452</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463</w:t>
            </w:r>
          </w:p>
        </w:tc>
        <w:tc>
          <w:tcPr>
            <w:tcW w:type="dxa" w:w="907"/>
          </w:tcPr>
          <w:p>
            <w:pPr>
              <w:jc w:val="center"/>
            </w:pPr>
            <w:r/>
            <w:r>
              <w:rPr>
                <w:b w:val="0"/>
                <w:sz w:val="18"/>
              </w:rPr>
              <w:t>377</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463</w:t>
            </w:r>
          </w:p>
        </w:tc>
        <w:tc>
          <w:tcPr>
            <w:tcW w:type="dxa" w:w="907"/>
          </w:tcPr>
          <w:p>
            <w:pPr>
              <w:jc w:val="center"/>
            </w:pPr>
            <w:r/>
            <w:r>
              <w:rPr>
                <w:b w:val="0"/>
                <w:sz w:val="18"/>
              </w:rPr>
              <w:t>743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36347"/>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807</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323</w:t>
            </w:r>
          </w:p>
        </w:tc>
        <w:tc>
          <w:tcPr>
            <w:tcW w:type="dxa" w:w="907"/>
          </w:tcPr>
          <w:p>
            <w:pPr>
              <w:jc w:val="center"/>
            </w:pPr>
            <w:r/>
            <w:r>
              <w:rPr>
                <w:b w:val="0"/>
                <w:sz w:val="18"/>
              </w:rPr>
              <w:t>258</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323</w:t>
            </w:r>
          </w:p>
        </w:tc>
        <w:tc>
          <w:tcPr>
            <w:tcW w:type="dxa" w:w="907"/>
          </w:tcPr>
          <w:p>
            <w:pPr>
              <w:jc w:val="center"/>
            </w:pPr>
            <w:r/>
            <w:r>
              <w:rPr>
                <w:b w:val="0"/>
                <w:sz w:val="18"/>
              </w:rPr>
              <w:t>463</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F2=947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