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A237E"/>
        </w:rPr>
        <w:t>V. Les Cordes</w:t>
      </w:r>
    </w:p>
    <w:p>
      <w:r>
        <w:rPr>
          <w:b/>
        </w:rPr>
        <w:t xml:space="preserve">Plage formantique : </w:t>
      </w:r>
      <w:r>
        <w:t>200–1 556 Hz (voyelles /u/ → /e/). La famille des cordes présente la plus grande variabilité spectrale de l'orchestre, compensée par la mesure Fp (centroïde).</w:t>
      </w:r>
    </w:p>
    <w:p>
      <w:r>
        <w:rPr>
          <w:b/>
          <w:color w:val="C62828"/>
        </w:rPr>
        <w:t xml:space="preserve">Découverte clé : </w:t>
      </w:r>
      <w:r>
        <w:t>Violoncelle (499 Hz) + Basson (502 Hz) = Δ=3 Hz — la doublure la plus parfaite du corpus. L'ensemble de violons (F1=1 556 Hz) développe une zone /e/ très différente du soliste (893 Hz Fp) : effet de section spectral clairement quantifié.</w:t>
      </w:r>
    </w:p>
    <w:p>
      <w:pPr>
        <w:pStyle w:val="Heading2"/>
      </w:pPr>
      <w:r>
        <w:rPr>
          <w:color w:val="1565C0"/>
        </w:rPr>
        <w:t>Cordes solistes</w:t>
      </w:r>
    </w:p>
    <w:p>
      <w:pPr>
        <w:pStyle w:val="Heading3"/>
      </w:pPr>
      <w:r>
        <w:rPr>
          <w:color w:val="B71C1C"/>
        </w:rPr>
        <w:t>Violon</w:t>
      </w:r>
    </w:p>
    <w:p>
      <w:pPr>
        <w:pStyle w:val="Heading2"/>
      </w:pPr>
      <w:r>
        <w:rPr>
          <w:color w:val="1565C0"/>
        </w:rPr>
        <w:t>Violon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254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iol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25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brillant et expressif, extrêmement large tessiture spectrale. F1 spectral strict = 506 Hz (zone /o/) mais très variable (σ=235 Hz). F2 extrêmement instable (σ=651 Hz). Le Fp centroïde à 893 Hz (σ=92 Hz) est 7.1× plus stable et correspond au Hauptformant de Meyer (800–1 200 Hz, zone /a/). Sources divergentes : Backus (2 000–3 000) capturait une zone de brillance haute ; Giesler et Meyer convergent sur 1 000–1 200 Hz. SOL2020 Fp=893 Hz confirme la zone /a/ comme signature timbrale perceptive du violon.</w:t>
      </w:r>
    </w:p>
    <w:p>
      <w:r>
        <w:rPr>
          <w:b/>
          <w:i w:val="0"/>
          <w:color w:val="1B5E20"/>
          <w:sz w:val="20"/>
        </w:rPr>
        <w:t>Fp (centroïde) = 893 Hz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~2 000–3 000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1 000–1 200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~800–1 200 (Hauptformant)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~2 800–3 400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 (eh)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 ±235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1 518 ±651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2 532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3 478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(variable)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Fp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±92 (Fp)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 (ah)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284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2 379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4 274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5 050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behind_the_fingerboard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5 243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4 005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4 716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4 576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3 456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4 220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4 931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3 079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4 436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4 425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5 631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3 585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4 705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4 210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3 714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4 414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2 756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4 468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3 725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4 684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4 253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3 456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4 737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4 565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4 360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4 479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4 371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2 616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4 242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4 468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4 436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4 404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3 122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4 651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3 682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4 296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3 585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4 274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1 460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Δ=567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Flûte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1 354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Δ=461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1 016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Trompette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893 (Fp)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1 046 (Fp)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Δ=153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Violon+sourdine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5084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sor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5084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plus doux, atténuation des harmoniques aigus. F1 peut descendre ou rester stable selon la sourdine. Timbre plus mat et intimiste.</w:t>
      </w:r>
    </w:p>
    <w:p/>
    <w:p>
      <w:pPr>
        <w:pStyle w:val="Heading2"/>
      </w:pPr>
      <w:r>
        <w:rPr>
          <w:color w:val="1565C0"/>
        </w:rPr>
        <w:t>Violon+sourd.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piombo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 en plomb. Amortissement maximum, son extrêmement étouffé. Utilisée en musique contemporaine pour effets timbraux extrêmes.</w:t>
      </w:r>
    </w:p>
    <w:p/>
    <w:p>
      <w:pPr>
        <w:pStyle w:val="Heading3"/>
      </w:pPr>
      <w:r>
        <w:rPr>
          <w:color w:val="1565C0"/>
        </w:rPr>
        <w:t>Alto</w:t>
      </w:r>
    </w:p>
    <w:p>
      <w:pPr>
        <w:pStyle w:val="Heading2"/>
      </w:pPr>
      <w:r>
        <w:rPr>
          <w:color w:val="1565C0"/>
        </w:rPr>
        <w:t>Alto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o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plus sombre et mélancolique que le violon. F1=369 Hz (zone /å/). Giesler note une grande dépendance au registre (220–600 Hz). Meyer situe le formant principal dans la zone /o/–/a/ (400–1 200 Hz). F1 SOL2020 (369 Hz) est plus stable que le violon. L'alto est acoustiquement dans la zone de transition /å/–/o/, ce qui lui confère sa couleur caractéristique — ni la brillance du violon ni la plénitude du violoncelle.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registre-dépendant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~400–600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~800–1 200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o–a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 ±14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766 ±217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1 282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1 957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å/a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3 521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4 942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behind_the_fingerboard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3 790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3 155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1 744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3 865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711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on_the_frog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4 317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5 060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2 939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3 478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3 112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3 359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3 133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668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3 811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3 413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3 467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1 604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2 196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3 155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2 821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3 445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2 013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3 068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2 799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3 208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2 788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Δ=75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Δ=54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377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Quasi-parfaite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1565C0"/>
        </w:rPr>
        <w:t>Alto+sourdine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_sord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voilé, atténuation des partiels médiums. Timbre plus intimiste et introspectif.</w:t>
      </w:r>
    </w:p>
    <w:p/>
    <w:p>
      <w:pPr>
        <w:pStyle w:val="Heading2"/>
      </w:pPr>
      <w:r>
        <w:rPr>
          <w:color w:val="1565C0"/>
        </w:rPr>
        <w:t>Alto+sourd.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alt_piombo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lourde. Amortissement maximal, utilisée pour les effets timbraux extrêmes.</w:t>
      </w:r>
    </w:p>
    <w:p/>
    <w:p>
      <w:pPr>
        <w:pStyle w:val="Heading3"/>
      </w:pPr>
      <w:r>
        <w:rPr>
          <w:color w:val="1B5E20"/>
        </w:rPr>
        <w:t>Violoncelle</w:t>
      </w:r>
    </w:p>
    <w:p>
      <w:pPr>
        <w:pStyle w:val="Heading2"/>
      </w:pPr>
      <w:r>
        <w:rPr>
          <w:color w:val="1565C0"/>
        </w:rPr>
        <w:t>Violoncelle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840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ioloncell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840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chaud et expressif, grande profondeur harmonique. F1=499 Hz dans le cluster de convergence 450–502 Hz (zone /o/). Accord remarquable entre toutes les sources : Giesler (300–500), Meyer (~500), Yan_Adds (499 Hz). Le violoncelle est le centre harmonique de l'orchestre selon Meyer — sa convergence avec le basson (Δ=3 Hz) est la plus parfaite du corpus. Convergence avec le cor (Δ=42 Hz) et le trombone (Δ=8 Hz).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Backus (1969)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600–900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300–500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o-ähnlich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Meyer (2009)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~500 (Hauptformant)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Yan_Adds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499 ±155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1 304 ±576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2 317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158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oui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2 358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2 670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657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2 433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279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on_the_frog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3 252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4 877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5 039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1 077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2 466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1 400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2 153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2 562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1 410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2 638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135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969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2 143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571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1 130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2 681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1 981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1 820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2 692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2 444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2 476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2 304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2 627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1 066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1 669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2 067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2 487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1 044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Δ=183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Trombone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Δ=286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Δ=247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Δ=266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Violoncelle+sourdine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sord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légèrement modifié. Son plus mat, projection réduite. Atténuation des harmoniques aigus.</w:t>
      </w:r>
    </w:p>
    <w:p/>
    <w:p>
      <w:pPr>
        <w:pStyle w:val="Heading2"/>
      </w:pPr>
      <w:r>
        <w:rPr>
          <w:color w:val="1565C0"/>
        </w:rPr>
        <w:t>Violoncelle+sourd. piombo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piombo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Sourdine lourde. Amortissement maximal des partiels aigus.</w:t>
      </w:r>
    </w:p>
    <w:p/>
    <w:p>
      <w:pPr>
        <w:pStyle w:val="Heading3"/>
      </w:pPr>
      <w:r>
        <w:rPr>
          <w:color w:val="4A148C"/>
        </w:rPr>
        <w:t>Contrebasse</w:t>
      </w:r>
    </w:p>
    <w:p>
      <w:pPr>
        <w:pStyle w:val="Heading2"/>
      </w:pPr>
      <w:r>
        <w:rPr>
          <w:color w:val="1565C0"/>
        </w:rPr>
        <w:t>Contrebasse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ontrebass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grave, rôle de fondation harmonique de l'orchestre. F1=200 Hz (zone /u/) — la résonance fondamentale de la caisse. Giesler note une zone basse 70–250 Hz avec un formant secondaire à 400 Hz. Grande variabilité : la contrebasse est l'instrument à cordes le moins formulable par un F1 unique.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</w:tcPr>
          <w:p>
            <w:pPr>
              <w:jc w:val="center"/>
            </w:pPr>
            <w:r/>
            <w:r>
              <w:rPr>
                <w:b/>
                <w:sz w:val="18"/>
              </w:rPr>
              <w:t>Giesler (1985)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70–250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400 (secondaire)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u/o</w:t>
            </w:r>
          </w:p>
        </w:tc>
        <w:tc>
          <w:tcPr>
            <w:tcW w:type="dxa" w:w="56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68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 ±169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593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1 200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41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approx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2 681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artificial_harmonic_tremolo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behind_the_bridge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3 305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4 059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5 792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chromatic_scale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col_legno_battuto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1 389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2 229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col_legno_tratto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1 432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1 960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crescendo_to_decrescendo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2 509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crushed_to_ordinario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861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decrescendo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2 110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hit_on_body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natural_harmonics_glissandi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1 378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2 649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non_vibrato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297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2 240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note_lasting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990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1 249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on_the_bridge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on_the_tailpiece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on_the_tuning_pegs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592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1 776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2 401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309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ordinario_to_crushed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ordinario_to_sul_ponticello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926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2 089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ordinario_to_sul_tasto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ordinario_to_tremolo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958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2 056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pizzicato_bartok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1 001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2 326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pizzicato_l_vib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pizzicato_secco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851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2 261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sforzato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staccato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1 217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1 841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840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915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1 227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2 390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sul_ponticello_to_sul_tasto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1 486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sul_ponticello_tremolo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2 024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1 906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506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1 238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2 519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sul_tasto_to_sul_ponticello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1 206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1 507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2 078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sul_tasto_tremolo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797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2 046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808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tremolo_to_ordinario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829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trill_major_second_up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2 282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trill_minor_second_up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1 464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1 863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Δ=49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Δ=26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323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Contrebasse+sourdine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b_sord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Son très étouffé. La sourdine affecte principalement les harmoniques médiums.</w:t>
      </w:r>
    </w:p>
    <w:p/>
    <w:p>
      <w:pPr>
        <w:pStyle w:val="Heading2"/>
      </w:pPr>
      <w:r>
        <w:rPr>
          <w:color w:val="1565C0"/>
        </w:rPr>
        <w:t>Cordes d'ensemble</w:t>
      </w:r>
    </w:p>
    <w:p>
      <w:r>
        <w:rPr>
          <w:b w:val="0"/>
          <w:i w:val="0"/>
          <w:sz w:val="20"/>
        </w:rPr>
        <w:t>Les données d'ensemble montrent un effet de section (compression formantique) systématique : le F1 collectif est significativement plus haut qu'en solo. Exemple le plus marqué : Violon solo F1=506 Hz (Fp=893) → Ensemble de violons F1=1 556 Hz.</w:t>
      </w:r>
    </w:p>
    <w:p>
      <w:pPr>
        <w:pStyle w:val="Heading2"/>
      </w:pPr>
      <w:r>
        <w:rPr>
          <w:color w:val="1565C0"/>
        </w:rPr>
        <w:t>Ensemble de violons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6686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ens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668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ensemble = 495 Hz — quasi-identique au solo (506 Hz, Δ=−2 %). L'effet de section ne déplace pas F1 mais lisse les harmoniques supérieurs : F2 passe de 1 518 Hz (solo) à 1 163 Hz (ensemble, −23 %) ; F3 de 2 347 à 1 970 Hz (−16 %). Le résultat perceptif est un timbre plus fondu et homogène — moins de relief spectral individuel, plus de continuité collective. C'est cet aplatissement de F2–F3 qui donne aux sections de violons leur texture caractéristique, distincte du soliste.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(N=166)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 ±89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1 163 ±312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1 970 ±389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 (oh)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883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1 314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2 950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3 973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166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1 163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1 970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2 498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3 499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4 188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126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345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603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1 087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1 658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2 293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3 165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Hautbois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 (F1)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Δ=248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Flûte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743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Δ=248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Violoncelle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Clarinette Sib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Δ=32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Excellente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p>
      <w:pPr>
        <w:pStyle w:val="Heading2"/>
      </w:pPr>
      <w:r>
        <w:rPr>
          <w:color w:val="1565C0"/>
        </w:rPr>
        <w:t>Ensemble de violons+sourdine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8763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ln_ens_sord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876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Section avec sourdines. Atténuation collective, timbre soyeux et unifié.</w:t>
      </w:r>
    </w:p>
    <w:p/>
    <w:p>
      <w:pPr>
        <w:pStyle w:val="Heading2"/>
      </w:pPr>
      <w:r>
        <w:rPr>
          <w:color w:val="1565C0"/>
        </w:rPr>
        <w:t>Ensemble de violoncelles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ens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F1 ensemble = 205 Hz — identique au solo. F2 passe de 506 Hz (solo) à 474 Hz (ensemble, −6 %). La section violoncelle maintient intégralement la couleur /o/ du soliste, avec un léger lissage des harmoniques supérieurs. Elle reste dans la zone de convergence du cluster /o/ (450–502 Hz).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(N=147)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 ±48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 ±156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 ±201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463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1 012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1 647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1 895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ordinario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147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775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1 303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1 852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2 164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194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484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818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1 260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1 809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2 347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 anglais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Δ=247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495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Δ=290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Complémentaire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Cor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205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388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Δ=183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Octave</w:t>
            </w:r>
          </w:p>
        </w:tc>
      </w:tr>
    </w:tbl>
    <w:p/>
    <w:p>
      <w:pPr>
        <w:pStyle w:val="Heading2"/>
      </w:pPr>
      <w:r>
        <w:rPr>
          <w:color w:val="1565C0"/>
        </w:rPr>
        <w:t>Ensemble de violoncelles+sourdine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44613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vcl_ens_sord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4461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Section avec sourdines. Conservation de la couleur /o/ avec une projection réduite.</w:t>
      </w:r>
    </w:p>
    <w:p/>
    <w:p>
      <w:pPr>
        <w:pStyle w:val="Heading2"/>
      </w:pPr>
      <w:r>
        <w:rPr>
          <w:color w:val="1565C0"/>
        </w:rPr>
        <w:t>Ensemble de contrebasses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943600" cy="2936347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des_cb_ens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363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i/>
          <w:sz w:val="20"/>
        </w:rPr>
        <w:t>Technique non-vibrato (seule disponible dans la base). F1=172 Hz — identique au solo. F2 passe de 474 Hz (solo) à 441 Hz (ensemble, −7 %). La fondation grave de l'orchestre reste strictement dans la zone /u/, avec une homogénéisation légère des harmoniques médiums en section.</w:t>
      </w:r>
    </w:p>
    <w:p>
      <w:r>
        <w:rPr>
          <w:b w:val="0"/>
          <w:i/>
          <w:sz w:val="18"/>
        </w:rPr>
        <w:t>⚠ Technique : non-vibrato uniquement dans la base.</w:t>
      </w:r>
    </w:p>
    <w:p>
      <w:pPr>
        <w:pStyle w:val="Heading3"/>
      </w:pPr>
      <w:r>
        <w:t>Valeurs de référence (sources académiques)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1701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 (Hz)</w:t>
            </w:r>
          </w:p>
        </w:tc>
        <w:tc>
          <w:tcPr>
            <w:tcW w:type="dxa" w:w="102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Voyelle</w:t>
            </w:r>
          </w:p>
        </w:tc>
        <w:tc>
          <w:tcPr>
            <w:tcW w:type="dxa" w:w="567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680"/>
            <w:shd w:fill="37474F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Accord</w:t>
            </w:r>
          </w:p>
        </w:tc>
      </w:tr>
      <w:tr>
        <w:tc>
          <w:tcPr>
            <w:tcW w:type="dxa" w:w="170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SOL2020 (non-vibrato, N=76)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 ±44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 ±112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 ±189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102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 (oo)</w:t>
            </w:r>
          </w:p>
        </w:tc>
        <w:tc>
          <w:tcPr>
            <w:tcW w:type="dxa" w:w="56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680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t>Analyse spectrale complète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11"/>
        <w:gridCol w:w="1211"/>
        <w:gridCol w:w="1211"/>
        <w:gridCol w:w="1211"/>
        <w:gridCol w:w="1211"/>
        <w:gridCol w:w="1211"/>
        <w:gridCol w:w="1211"/>
        <w:gridCol w:w="1211"/>
      </w:tblGrid>
      <w:tr>
        <w:tc>
          <w:tcPr>
            <w:tcW w:type="dxa" w:w="2721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Technique</w:t>
            </w:r>
          </w:p>
        </w:tc>
        <w:tc>
          <w:tcPr>
            <w:tcW w:type="dxa" w:w="624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N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F2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F3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F4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F5</w:t>
            </w:r>
          </w:p>
        </w:tc>
        <w:tc>
          <w:tcPr>
            <w:tcW w:type="dxa" w:w="737"/>
            <w:shd w:fill="1A3A5C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F6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flautando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452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947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1 324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1 561</w:t>
            </w:r>
          </w:p>
        </w:tc>
      </w:tr>
      <w:tr>
        <w:tc>
          <w:tcPr>
            <w:tcW w:type="dxa" w:w="2721"/>
            <w:shd w:fill="DFF0D8"/>
          </w:tcPr>
          <w:p>
            <w:pPr>
              <w:jc w:val="center"/>
            </w:pPr>
            <w:r/>
            <w:r>
              <w:rPr>
                <w:b/>
                <w:sz w:val="18"/>
              </w:rPr>
              <w:t>non-vibrato</w:t>
            </w:r>
          </w:p>
        </w:tc>
        <w:tc>
          <w:tcPr>
            <w:tcW w:type="dxa" w:w="624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754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1 023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1 292</w:t>
            </w:r>
          </w:p>
        </w:tc>
        <w:tc>
          <w:tcPr>
            <w:tcW w:type="dxa" w:w="737"/>
            <w:shd w:fill="DFF0D8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1 550</w:t>
            </w:r>
          </w:p>
        </w:tc>
      </w:tr>
      <w:tr>
        <w:tc>
          <w:tcPr>
            <w:tcW w:type="dxa" w:w="2721"/>
          </w:tcPr>
          <w:p>
            <w:pPr>
              <w:jc w:val="center"/>
            </w:pPr>
            <w:r/>
            <w:r>
              <w:rPr>
                <w:b/>
                <w:sz w:val="18"/>
              </w:rPr>
              <w:t>pizzicato-l-vib</w:t>
            </w:r>
          </w:p>
        </w:tc>
        <w:tc>
          <w:tcPr>
            <w:tcW w:type="dxa" w:w="624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98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172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441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764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1 034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73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—</w:t>
            </w:r>
          </w:p>
        </w:tc>
      </w:tr>
    </w:tbl>
    <w:p>
      <w:pPr>
        <w:pStyle w:val="Heading3"/>
      </w:pPr>
      <w:r>
        <w:rPr>
          <w:color w:val="F57F17"/>
        </w:rPr>
        <w:t>Doublures recommandées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814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Instrument associé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</w:t>
            </w:r>
          </w:p>
        </w:tc>
        <w:tc>
          <w:tcPr>
            <w:tcW w:type="dxa" w:w="90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F1 associé</w:t>
            </w:r>
          </w:p>
        </w:tc>
        <w:tc>
          <w:tcPr>
            <w:tcW w:type="dxa" w:w="1020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Écart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Qualité</w:t>
            </w:r>
          </w:p>
        </w:tc>
        <w:tc>
          <w:tcPr>
            <w:tcW w:type="dxa" w:w="1417"/>
            <w:shd w:fill="F57F17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Rapport tessiture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249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Δ=101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Contrebasson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226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Δ=124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  <w:tr>
        <w:tc>
          <w:tcPr>
            <w:tcW w:type="dxa" w:w="1814"/>
          </w:tcPr>
          <w:p>
            <w:pPr>
              <w:jc w:val="center"/>
            </w:pPr>
            <w:r/>
            <w:r>
              <w:rPr>
                <w:b/>
                <w:sz w:val="18"/>
              </w:rPr>
              <w:t>Tuba contrebasse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350</w:t>
            </w:r>
          </w:p>
        </w:tc>
        <w:tc>
          <w:tcPr>
            <w:tcW w:type="dxa" w:w="90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471</w:t>
            </w:r>
          </w:p>
        </w:tc>
        <w:tc>
          <w:tcPr>
            <w:tcW w:type="dxa" w:w="1020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Δ=121 Hz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Bonne</w:t>
            </w:r>
          </w:p>
        </w:tc>
        <w:tc>
          <w:tcPr>
            <w:tcW w:type="dxa" w:w="1417"/>
          </w:tcPr>
          <w:p>
            <w:pPr>
              <w:jc w:val="center"/>
            </w:pPr>
            <w:r/>
            <w:r>
              <w:rPr>
                <w:b w:val="0"/>
                <w:sz w:val="18"/>
              </w:rPr>
              <w:t>Unisson</w:t>
            </w:r>
          </w:p>
        </w:tc>
      </w:tr>
    </w:tbl>
    <w:p/>
    <w:sectPr w:rsidR="00FC693F" w:rsidRPr="0006063C" w:rsidSect="00034616">
      <w:pgSz w:w="12240" w:h="15840"/>
      <w:pgMar w:top="1134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