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25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4613"/>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8763"/>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8763"/>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36347"/>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36347"/>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2542"/>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2542"/>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38409"/>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4613"/>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4613"/>
                    </a:xfrm>
                    <a:prstGeom prst="rect"/>
                  </pic:spPr>
                </pic:pic>
              </a:graphicData>
            </a:graphic>
          </wp:inline>
        </w:drawing>
      </w:r>
    </w:p>
    <w:p>
      <w:r>
        <w:rPr>
          <w:b w:val="0"/>
          <w:i/>
          <w:sz w:val="20"/>
        </w:rPr>
        <w:t>Section avec sourdines. Son plus intimiste et homogène.</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36347"/>
                    </a:xfrm>
                    <a:prstGeom prst="rect"/>
                  </pic:spPr>
                </pic:pic>
              </a:graphicData>
            </a:graphic>
          </wp:inline>
        </w:drawing>
      </w:r>
    </w:p>
    <w:p>
      <w:r>
        <w:rPr>
          <w:b w:val="0"/>
          <w:i/>
          <w:sz w:val="20"/>
        </w:rPr>
        <w:t>Section avec sourdines. Conservation de la couleur /o/ avec une projection réduite.</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