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237E"/>
        </w:rPr>
        <w:t>VI. Synthèse — Convergences Formantiques</w:t>
      </w:r>
    </w:p>
    <w:p>
      <w:r>
        <w:rPr>
          <w:b w:val="0"/>
          <w:i w:val="0"/>
          <w:sz w:val="20"/>
        </w:rPr>
        <w:t>Synthèse des découvertes principales de l'analyse formantique complète des 27 instruments du corpus (pipeline v22). 93 % de concordance multi-sources.</w:t>
      </w:r>
    </w:p>
    <w:p>
      <w:pPr>
        <w:pStyle w:val="Heading2"/>
      </w:pPr>
      <w:r>
        <w:rPr>
          <w:color w:val="2E7D32"/>
        </w:rPr>
        <w:t>Figure 1 — Positions formantiques des 27 instruments</w:t>
      </w:r>
    </w:p>
    <w:p>
      <w:r>
        <w:rPr>
          <w:b w:val="0"/>
          <w:i/>
          <w:sz w:val="18"/>
        </w:rPr>
        <w:t>F1–F4 de chaque instrument sur axe logarithmique. Marqueurs : taille décroissante de F1 à F4, losange vert = Fp centroïde. Instruments triés du plus grave au plus aigu. Bandes colorées = zones vocaliques Meyer (2009).</w:t>
      </w:r>
    </w:p>
    <w:p>
      <w:pPr>
        <w:jc w:val="center"/>
      </w:pPr>
      <w:r>
        <w:drawing>
          <wp:inline xmlns:a="http://schemas.openxmlformats.org/drawingml/2006/main" xmlns:pic="http://schemas.openxmlformats.org/drawingml/2006/picture">
            <wp:extent cx="5943600" cy="4778654"/>
            <wp:docPr id="1" name="Picture 1"/>
            <wp:cNvGraphicFramePr>
              <a:graphicFrameLocks noChangeAspect="1"/>
            </wp:cNvGraphicFramePr>
            <a:graphic>
              <a:graphicData uri="http://schemas.openxmlformats.org/drawingml/2006/picture">
                <pic:pic>
                  <pic:nvPicPr>
                    <pic:cNvPr id="0" name="synthese_fig1_positions.png"/>
                    <pic:cNvPicPr/>
                  </pic:nvPicPr>
                  <pic:blipFill>
                    <a:blip r:embed="rId9"/>
                    <a:stretch>
                      <a:fillRect/>
                    </a:stretch>
                  </pic:blipFill>
                  <pic:spPr>
                    <a:xfrm>
                      <a:off x="0" y="0"/>
                      <a:ext cx="5943600" cy="4778654"/>
                    </a:xfrm>
                    <a:prstGeom prst="rect"/>
                  </pic:spPr>
                </pic:pic>
              </a:graphicData>
            </a:graphic>
          </wp:inline>
        </w:drawing>
      </w:r>
    </w:p>
    <w:p/>
    <w:p>
      <w:pPr>
        <w:pStyle w:val="Heading2"/>
      </w:pPr>
      <w:r>
        <w:rPr>
          <w:color w:val="2E7D32"/>
        </w:rPr>
        <w:t>Figure 2 — Espace vocalique F1/F2</w:t>
      </w:r>
    </w:p>
    <w:p>
      <w:r>
        <w:rPr>
          <w:b w:val="0"/>
          <w:i/>
          <w:sz w:val="18"/>
        </w:rPr>
        <w:t>Chaque instrument positionné dans l'espace F1 × F2, convention phonétique. Forme des marqueurs selon la famille instrumentale. Ellipse rouge = zone de convergence F1 = 377–506 Hz.</w:t>
      </w:r>
    </w:p>
    <w:p>
      <w:pPr>
        <w:jc w:val="center"/>
      </w:pPr>
      <w:r>
        <w:drawing>
          <wp:inline xmlns:a="http://schemas.openxmlformats.org/drawingml/2006/main" xmlns:pic="http://schemas.openxmlformats.org/drawingml/2006/picture">
            <wp:extent cx="5943600" cy="4457700"/>
            <wp:docPr id="2" name="Picture 2"/>
            <wp:cNvGraphicFramePr>
              <a:graphicFrameLocks noChangeAspect="1"/>
            </wp:cNvGraphicFramePr>
            <a:graphic>
              <a:graphicData uri="http://schemas.openxmlformats.org/drawingml/2006/picture">
                <pic:pic>
                  <pic:nvPicPr>
                    <pic:cNvPr id="0" name="synthese_fig2_espace_vocalique.png"/>
                    <pic:cNvPicPr/>
                  </pic:nvPicPr>
                  <pic:blipFill>
                    <a:blip r:embed="rId10"/>
                    <a:stretch>
                      <a:fillRect/>
                    </a:stretch>
                  </pic:blipFill>
                  <pic:spPr>
                    <a:xfrm>
                      <a:off x="0" y="0"/>
                      <a:ext cx="5943600" cy="4457700"/>
                    </a:xfrm>
                    <a:prstGeom prst="rect"/>
                  </pic:spPr>
                </pic:pic>
              </a:graphicData>
            </a:graphic>
          </wp:inline>
        </w:drawing>
      </w:r>
    </w:p>
    <w:p/>
    <w:p>
      <w:pPr>
        <w:pStyle w:val="Heading2"/>
      </w:pPr>
      <w:r>
        <w:rPr>
          <w:color w:val="2E7D32"/>
        </w:rPr>
        <w:t>Figure 2b — Espace vocalique F1/F2 en Bark</w:t>
      </w:r>
    </w:p>
    <w:p>
      <w:r>
        <w:rPr>
          <w:b w:val="0"/>
          <w:i/>
          <w:sz w:val="18"/>
        </w:rPr>
        <w:t>Même espace vocalique en échelle Bark (Traunmüller). Les distances perceptives sont plus homogènes : les instruments graves sont moins comprimés et le cluster /o/ est plus étalé.</w:t>
      </w:r>
    </w:p>
    <w:p>
      <w:pPr>
        <w:jc w:val="center"/>
      </w:pPr>
      <w:r>
        <w:drawing>
          <wp:inline xmlns:a="http://schemas.openxmlformats.org/drawingml/2006/main" xmlns:pic="http://schemas.openxmlformats.org/drawingml/2006/picture">
            <wp:extent cx="5943600" cy="4457700"/>
            <wp:docPr id="3" name="Picture 3"/>
            <wp:cNvGraphicFramePr>
              <a:graphicFrameLocks noChangeAspect="1"/>
            </wp:cNvGraphicFramePr>
            <a:graphic>
              <a:graphicData uri="http://schemas.openxmlformats.org/drawingml/2006/picture">
                <pic:pic>
                  <pic:nvPicPr>
                    <pic:cNvPr id="0" name="synthese_fig2_bark.png"/>
                    <pic:cNvPicPr/>
                  </pic:nvPicPr>
                  <pic:blipFill>
                    <a:blip r:embed="rId11"/>
                    <a:stretch>
                      <a:fillRect/>
                    </a:stretch>
                  </pic:blipFill>
                  <pic:spPr>
                    <a:xfrm>
                      <a:off x="0" y="0"/>
                      <a:ext cx="5943600" cy="4457700"/>
                    </a:xfrm>
                    <a:prstGeom prst="rect"/>
                  </pic:spPr>
                </pic:pic>
              </a:graphicData>
            </a:graphic>
          </wp:inline>
        </w:drawing>
      </w:r>
    </w:p>
    <w:p/>
    <w:p>
      <w:pPr>
        <w:pStyle w:val="Heading2"/>
      </w:pPr>
      <w:r>
        <w:rPr>
          <w:color w:val="B71C1C"/>
        </w:rPr>
        <w:t>Figure 3 — Enveloppes schématiques du cluster de convergence</w:t>
      </w:r>
    </w:p>
    <w:p>
      <w:r>
        <w:rPr>
          <w:b w:val="0"/>
          <w:i/>
          <w:sz w:val="18"/>
        </w:rPr>
        <w:t>Enveloppes gaussiennes centrées sur le F1 strict de 11 instruments dont le F1 converge dans la zone 377–506 Hz. Bande rouge = zone de convergence. Quand les résonances coïncident, l'oreille perçoit un timbre unique.</w:t>
      </w:r>
    </w:p>
    <w:p>
      <w:pPr>
        <w:jc w:val="center"/>
      </w:pPr>
      <w:r>
        <w:drawing>
          <wp:inline xmlns:a="http://schemas.openxmlformats.org/drawingml/2006/main" xmlns:pic="http://schemas.openxmlformats.org/drawingml/2006/picture">
            <wp:extent cx="5943600" cy="2759529"/>
            <wp:docPr id="4" name="Picture 4"/>
            <wp:cNvGraphicFramePr>
              <a:graphicFrameLocks noChangeAspect="1"/>
            </wp:cNvGraphicFramePr>
            <a:graphic>
              <a:graphicData uri="http://schemas.openxmlformats.org/drawingml/2006/picture">
                <pic:pic>
                  <pic:nvPicPr>
                    <pic:cNvPr id="0" name="synthese_fig3_cluster.png"/>
                    <pic:cNvPicPr/>
                  </pic:nvPicPr>
                  <pic:blipFill>
                    <a:blip r:embed="rId12"/>
                    <a:stretch>
                      <a:fillRect/>
                    </a:stretch>
                  </pic:blipFill>
                  <pic:spPr>
                    <a:xfrm>
                      <a:off x="0" y="0"/>
                      <a:ext cx="5943600" cy="2759529"/>
                    </a:xfrm>
                    <a:prstGeom prst="rect"/>
                  </pic:spPr>
                </pic:pic>
              </a:graphicData>
            </a:graphic>
          </wp:inline>
        </w:drawing>
      </w:r>
    </w:p>
    <w:p/>
    <w:p>
      <w:pPr>
        <w:pStyle w:val="Heading2"/>
      </w:pPr>
      <w:r>
        <w:rPr>
          <w:color w:val="B71C1C"/>
        </w:rPr>
        <w:t>Le Cluster de Convergence — Zone /o/–/å/ (377–510 Hz)</w:t>
      </w:r>
    </w:p>
    <w:p>
      <w:pPr>
        <w:jc w:val="center"/>
      </w:pPr>
      <w:r>
        <w:drawing>
          <wp:inline xmlns:a="http://schemas.openxmlformats.org/drawingml/2006/main" xmlns:pic="http://schemas.openxmlformats.org/drawingml/2006/picture">
            <wp:extent cx="5486400" cy="2438400"/>
            <wp:docPr id="5" name="Picture 5"/>
            <wp:cNvGraphicFramePr>
              <a:graphicFrameLocks noChangeAspect="1"/>
            </wp:cNvGraphicFramePr>
            <a:graphic>
              <a:graphicData uri="http://schemas.openxmlformats.org/drawingml/2006/picture">
                <pic:pic>
                  <pic:nvPicPr>
                    <pic:cNvPr id="0" name="synthese_cluster.png"/>
                    <pic:cNvPicPr/>
                  </pic:nvPicPr>
                  <pic:blipFill>
                    <a:blip r:embed="rId13"/>
                    <a:stretch>
                      <a:fillRect/>
                    </a:stretch>
                  </pic:blipFill>
                  <pic:spPr>
                    <a:xfrm>
                      <a:off x="0" y="0"/>
                      <a:ext cx="5486400" cy="2438400"/>
                    </a:xfrm>
                    <a:prstGeom prst="rect"/>
                  </pic:spPr>
                </pic:pic>
              </a:graphicData>
            </a:graphic>
          </wp:inline>
        </w:drawing>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701"/>
            <w:shd w:fill="B71C1C"/>
          </w:tcPr>
          <w:p>
            <w:pPr>
              <w:jc w:val="center"/>
            </w:pPr>
            <w:r/>
            <w:r>
              <w:rPr>
                <w:b/>
                <w:color w:val="FFFFFF"/>
                <w:sz w:val="18"/>
              </w:rPr>
              <w:t>Instrument</w:t>
            </w:r>
          </w:p>
        </w:tc>
        <w:tc>
          <w:tcPr>
            <w:tcW w:type="dxa" w:w="1134"/>
            <w:shd w:fill="B71C1C"/>
          </w:tcPr>
          <w:p>
            <w:pPr>
              <w:jc w:val="center"/>
            </w:pPr>
            <w:r/>
            <w:r>
              <w:rPr>
                <w:b/>
                <w:color w:val="FFFFFF"/>
                <w:sz w:val="18"/>
              </w:rPr>
              <w:t>Famille</w:t>
            </w:r>
          </w:p>
        </w:tc>
        <w:tc>
          <w:tcPr>
            <w:tcW w:type="dxa" w:w="850"/>
            <w:shd w:fill="B71C1C"/>
          </w:tcPr>
          <w:p>
            <w:pPr>
              <w:jc w:val="center"/>
            </w:pPr>
            <w:r/>
            <w:r>
              <w:rPr>
                <w:b/>
                <w:color w:val="FFFFFF"/>
                <w:sz w:val="18"/>
              </w:rPr>
              <w:t>F1 (Hz)</w:t>
            </w:r>
          </w:p>
        </w:tc>
        <w:tc>
          <w:tcPr>
            <w:tcW w:type="dxa" w:w="850"/>
            <w:shd w:fill="B71C1C"/>
          </w:tcPr>
          <w:p>
            <w:pPr>
              <w:jc w:val="center"/>
            </w:pPr>
            <w:r/>
            <w:r>
              <w:rPr>
                <w:b/>
                <w:color w:val="FFFFFF"/>
                <w:sz w:val="18"/>
              </w:rPr>
              <w:t>Voyelle</w:t>
            </w:r>
          </w:p>
        </w:tc>
        <w:tc>
          <w:tcPr>
            <w:tcW w:type="dxa" w:w="1134"/>
            <w:shd w:fill="B71C1C"/>
          </w:tcPr>
          <w:p>
            <w:pPr>
              <w:jc w:val="center"/>
            </w:pPr>
            <w:r/>
            <w:r>
              <w:rPr>
                <w:b/>
                <w:color w:val="FFFFFF"/>
                <w:sz w:val="18"/>
              </w:rPr>
              <w:t>Δ vs Violon</w:t>
            </w:r>
          </w:p>
        </w:tc>
      </w:tr>
      <w:tr>
        <w:tc>
          <w:tcPr>
            <w:tcW w:type="dxa" w:w="1701"/>
          </w:tcPr>
          <w:p>
            <w:pPr>
              <w:jc w:val="center"/>
            </w:pPr>
            <w:r/>
            <w:r>
              <w:rPr>
                <w:b/>
                <w:sz w:val="18"/>
              </w:rPr>
              <w:t>Alto</w:t>
            </w:r>
          </w:p>
        </w:tc>
        <w:tc>
          <w:tcPr>
            <w:tcW w:type="dxa" w:w="1134"/>
          </w:tcPr>
          <w:p>
            <w:pPr>
              <w:jc w:val="center"/>
            </w:pPr>
            <w:r/>
            <w:r>
              <w:rPr>
                <w:b w:val="0"/>
                <w:sz w:val="18"/>
              </w:rPr>
              <w:t>Cordes</w:t>
            </w:r>
          </w:p>
        </w:tc>
        <w:tc>
          <w:tcPr>
            <w:tcW w:type="dxa" w:w="850"/>
          </w:tcPr>
          <w:p>
            <w:pPr>
              <w:jc w:val="center"/>
            </w:pPr>
            <w:r/>
            <w:r>
              <w:rPr>
                <w:b w:val="0"/>
                <w:sz w:val="18"/>
              </w:rPr>
              <w:t>377</w:t>
            </w:r>
          </w:p>
        </w:tc>
        <w:tc>
          <w:tcPr>
            <w:tcW w:type="dxa" w:w="850"/>
          </w:tcPr>
          <w:p>
            <w:pPr>
              <w:jc w:val="center"/>
            </w:pPr>
            <w:r/>
            <w:r>
              <w:rPr>
                <w:b w:val="0"/>
                <w:sz w:val="18"/>
              </w:rPr>
              <w:t>/o/</w:t>
            </w:r>
          </w:p>
        </w:tc>
        <w:tc>
          <w:tcPr>
            <w:tcW w:type="dxa" w:w="1134"/>
          </w:tcPr>
          <w:p>
            <w:pPr>
              <w:jc w:val="center"/>
            </w:pPr>
            <w:r/>
            <w:r>
              <w:rPr>
                <w:b w:val="0"/>
                <w:sz w:val="18"/>
              </w:rPr>
              <w:t>129 Hz</w:t>
            </w:r>
          </w:p>
        </w:tc>
      </w:tr>
      <w:tr>
        <w:tc>
          <w:tcPr>
            <w:tcW w:type="dxa" w:w="1701"/>
          </w:tcPr>
          <w:p>
            <w:pPr>
              <w:jc w:val="center"/>
            </w:pPr>
            <w:r/>
            <w:r>
              <w:rPr>
                <w:b/>
                <w:sz w:val="18"/>
              </w:rPr>
              <w:t>Cor</w:t>
            </w:r>
          </w:p>
        </w:tc>
        <w:tc>
          <w:tcPr>
            <w:tcW w:type="dxa" w:w="1134"/>
          </w:tcPr>
          <w:p>
            <w:pPr>
              <w:jc w:val="center"/>
            </w:pPr>
            <w:r/>
            <w:r>
              <w:rPr>
                <w:b w:val="0"/>
                <w:sz w:val="18"/>
              </w:rPr>
              <w:t>Cuivres</w:t>
            </w:r>
          </w:p>
        </w:tc>
        <w:tc>
          <w:tcPr>
            <w:tcW w:type="dxa" w:w="850"/>
          </w:tcPr>
          <w:p>
            <w:pPr>
              <w:jc w:val="center"/>
            </w:pPr>
            <w:r/>
            <w:r>
              <w:rPr>
                <w:b w:val="0"/>
                <w:sz w:val="18"/>
              </w:rPr>
              <w:t>388</w:t>
            </w:r>
          </w:p>
        </w:tc>
        <w:tc>
          <w:tcPr>
            <w:tcW w:type="dxa" w:w="850"/>
          </w:tcPr>
          <w:p>
            <w:pPr>
              <w:jc w:val="center"/>
            </w:pPr>
            <w:r/>
            <w:r>
              <w:rPr>
                <w:b w:val="0"/>
                <w:sz w:val="18"/>
              </w:rPr>
              <w:t>/o/</w:t>
            </w:r>
          </w:p>
        </w:tc>
        <w:tc>
          <w:tcPr>
            <w:tcW w:type="dxa" w:w="1134"/>
          </w:tcPr>
          <w:p>
            <w:pPr>
              <w:jc w:val="center"/>
            </w:pPr>
            <w:r/>
            <w:r>
              <w:rPr>
                <w:b w:val="0"/>
                <w:sz w:val="18"/>
              </w:rPr>
              <w:t>118 Hz</w:t>
            </w:r>
          </w:p>
        </w:tc>
      </w:tr>
      <w:tr>
        <w:tc>
          <w:tcPr>
            <w:tcW w:type="dxa" w:w="1701"/>
          </w:tcPr>
          <w:p>
            <w:pPr>
              <w:jc w:val="center"/>
            </w:pPr>
            <w:r/>
            <w:r>
              <w:rPr>
                <w:b/>
                <w:sz w:val="18"/>
              </w:rPr>
              <w:t>Sax alto</w:t>
            </w:r>
          </w:p>
        </w:tc>
        <w:tc>
          <w:tcPr>
            <w:tcW w:type="dxa" w:w="1134"/>
          </w:tcPr>
          <w:p>
            <w:pPr>
              <w:jc w:val="center"/>
            </w:pPr>
            <w:r/>
            <w:r>
              <w:rPr>
                <w:b w:val="0"/>
                <w:sz w:val="18"/>
              </w:rPr>
              <w:t>Saxophones</w:t>
            </w:r>
          </w:p>
        </w:tc>
        <w:tc>
          <w:tcPr>
            <w:tcW w:type="dxa" w:w="850"/>
          </w:tcPr>
          <w:p>
            <w:pPr>
              <w:jc w:val="center"/>
            </w:pPr>
            <w:r/>
            <w:r>
              <w:rPr>
                <w:b w:val="0"/>
                <w:sz w:val="18"/>
              </w:rPr>
              <w:t>398</w:t>
            </w:r>
          </w:p>
        </w:tc>
        <w:tc>
          <w:tcPr>
            <w:tcW w:type="dxa" w:w="850"/>
          </w:tcPr>
          <w:p>
            <w:pPr>
              <w:jc w:val="center"/>
            </w:pPr>
            <w:r/>
            <w:r>
              <w:rPr>
                <w:b w:val="0"/>
                <w:sz w:val="18"/>
              </w:rPr>
              <w:t>/o/</w:t>
            </w:r>
          </w:p>
        </w:tc>
        <w:tc>
          <w:tcPr>
            <w:tcW w:type="dxa" w:w="1134"/>
          </w:tcPr>
          <w:p>
            <w:pPr>
              <w:jc w:val="center"/>
            </w:pPr>
            <w:r/>
            <w:r>
              <w:rPr>
                <w:b w:val="0"/>
                <w:sz w:val="18"/>
              </w:rPr>
              <w:t>108 Hz</w:t>
            </w:r>
          </w:p>
        </w:tc>
      </w:tr>
      <w:tr>
        <w:tc>
          <w:tcPr>
            <w:tcW w:type="dxa" w:w="1701"/>
          </w:tcPr>
          <w:p>
            <w:pPr>
              <w:jc w:val="center"/>
            </w:pPr>
            <w:r/>
            <w:r>
              <w:rPr>
                <w:b/>
                <w:sz w:val="18"/>
              </w:rPr>
              <w:t>Cor anglais</w:t>
            </w:r>
          </w:p>
        </w:tc>
        <w:tc>
          <w:tcPr>
            <w:tcW w:type="dxa" w:w="1134"/>
          </w:tcPr>
          <w:p>
            <w:pPr>
              <w:jc w:val="center"/>
            </w:pPr>
            <w:r/>
            <w:r>
              <w:rPr>
                <w:b w:val="0"/>
                <w:sz w:val="18"/>
              </w:rPr>
              <w:t>Bois</w:t>
            </w:r>
          </w:p>
        </w:tc>
        <w:tc>
          <w:tcPr>
            <w:tcW w:type="dxa" w:w="850"/>
          </w:tcPr>
          <w:p>
            <w:pPr>
              <w:jc w:val="center"/>
            </w:pPr>
            <w:r/>
            <w:r>
              <w:rPr>
                <w:b w:val="0"/>
                <w:sz w:val="18"/>
              </w:rPr>
              <w:t>452</w:t>
            </w:r>
          </w:p>
        </w:tc>
        <w:tc>
          <w:tcPr>
            <w:tcW w:type="dxa" w:w="850"/>
          </w:tcPr>
          <w:p>
            <w:pPr>
              <w:jc w:val="center"/>
            </w:pPr>
            <w:r/>
            <w:r>
              <w:rPr>
                <w:b w:val="0"/>
                <w:sz w:val="18"/>
              </w:rPr>
              <w:t>/o/</w:t>
            </w:r>
          </w:p>
        </w:tc>
        <w:tc>
          <w:tcPr>
            <w:tcW w:type="dxa" w:w="1134"/>
          </w:tcPr>
          <w:p>
            <w:pPr>
              <w:jc w:val="center"/>
            </w:pPr>
            <w:r/>
            <w:r>
              <w:rPr>
                <w:b w:val="0"/>
                <w:sz w:val="18"/>
              </w:rPr>
              <w:t>54 Hz</w:t>
            </w:r>
          </w:p>
        </w:tc>
      </w:tr>
      <w:tr>
        <w:tc>
          <w:tcPr>
            <w:tcW w:type="dxa" w:w="1701"/>
          </w:tcPr>
          <w:p>
            <w:pPr>
              <w:jc w:val="center"/>
            </w:pPr>
            <w:r/>
            <w:r>
              <w:rPr>
                <w:b/>
                <w:sz w:val="18"/>
              </w:rPr>
              <w:t>Cl. Sib</w:t>
            </w:r>
          </w:p>
        </w:tc>
        <w:tc>
          <w:tcPr>
            <w:tcW w:type="dxa" w:w="1134"/>
          </w:tcPr>
          <w:p>
            <w:pPr>
              <w:jc w:val="center"/>
            </w:pPr>
            <w:r/>
            <w:r>
              <w:rPr>
                <w:b w:val="0"/>
                <w:sz w:val="18"/>
              </w:rPr>
              <w:t>Bois</w:t>
            </w:r>
          </w:p>
        </w:tc>
        <w:tc>
          <w:tcPr>
            <w:tcW w:type="dxa" w:w="850"/>
          </w:tcPr>
          <w:p>
            <w:pPr>
              <w:jc w:val="center"/>
            </w:pPr>
            <w:r/>
            <w:r>
              <w:rPr>
                <w:b w:val="0"/>
                <w:sz w:val="18"/>
              </w:rPr>
              <w:t>463</w:t>
            </w:r>
          </w:p>
        </w:tc>
        <w:tc>
          <w:tcPr>
            <w:tcW w:type="dxa" w:w="850"/>
          </w:tcPr>
          <w:p>
            <w:pPr>
              <w:jc w:val="center"/>
            </w:pPr>
            <w:r/>
            <w:r>
              <w:rPr>
                <w:b w:val="0"/>
                <w:sz w:val="18"/>
              </w:rPr>
              <w:t>/o/</w:t>
            </w:r>
          </w:p>
        </w:tc>
        <w:tc>
          <w:tcPr>
            <w:tcW w:type="dxa" w:w="1134"/>
          </w:tcPr>
          <w:p>
            <w:pPr>
              <w:jc w:val="center"/>
            </w:pPr>
            <w:r/>
            <w:r>
              <w:rPr>
                <w:b w:val="0"/>
                <w:sz w:val="18"/>
              </w:rPr>
              <w:t>43 Hz</w:t>
            </w:r>
          </w:p>
        </w:tc>
      </w:tr>
      <w:tr>
        <w:tc>
          <w:tcPr>
            <w:tcW w:type="dxa" w:w="1701"/>
          </w:tcPr>
          <w:p>
            <w:pPr>
              <w:jc w:val="center"/>
            </w:pPr>
            <w:r/>
            <w:r>
              <w:rPr>
                <w:b/>
                <w:sz w:val="18"/>
              </w:rPr>
              <w:t>Basson</w:t>
            </w:r>
          </w:p>
        </w:tc>
        <w:tc>
          <w:tcPr>
            <w:tcW w:type="dxa" w:w="1134"/>
          </w:tcPr>
          <w:p>
            <w:pPr>
              <w:jc w:val="center"/>
            </w:pPr>
            <w:r/>
            <w:r>
              <w:rPr>
                <w:b w:val="0"/>
                <w:sz w:val="18"/>
              </w:rPr>
              <w:t>Bois</w:t>
            </w:r>
          </w:p>
        </w:tc>
        <w:tc>
          <w:tcPr>
            <w:tcW w:type="dxa" w:w="850"/>
          </w:tcPr>
          <w:p>
            <w:pPr>
              <w:jc w:val="center"/>
            </w:pPr>
            <w:r/>
            <w:r>
              <w:rPr>
                <w:b w:val="0"/>
                <w:sz w:val="18"/>
              </w:rPr>
              <w:t>495</w:t>
            </w:r>
          </w:p>
        </w:tc>
        <w:tc>
          <w:tcPr>
            <w:tcW w:type="dxa" w:w="850"/>
          </w:tcPr>
          <w:p>
            <w:pPr>
              <w:jc w:val="center"/>
            </w:pPr>
            <w:r/>
            <w:r>
              <w:rPr>
                <w:b w:val="0"/>
                <w:sz w:val="18"/>
              </w:rPr>
              <w:t>/o/</w:t>
            </w:r>
          </w:p>
        </w:tc>
        <w:tc>
          <w:tcPr>
            <w:tcW w:type="dxa" w:w="1134"/>
          </w:tcPr>
          <w:p>
            <w:pPr>
              <w:jc w:val="center"/>
            </w:pPr>
            <w:r/>
            <w:r>
              <w:rPr>
                <w:b w:val="0"/>
                <w:sz w:val="18"/>
              </w:rPr>
              <w:t>11 Hz ★</w:t>
            </w:r>
          </w:p>
        </w:tc>
      </w:tr>
      <w:tr>
        <w:tc>
          <w:tcPr>
            <w:tcW w:type="dxa" w:w="1701"/>
          </w:tcPr>
          <w:p>
            <w:pPr>
              <w:jc w:val="center"/>
            </w:pPr>
            <w:r/>
            <w:r>
              <w:rPr>
                <w:b/>
                <w:sz w:val="18"/>
              </w:rPr>
              <w:t>Ens. Violons</w:t>
            </w:r>
          </w:p>
        </w:tc>
        <w:tc>
          <w:tcPr>
            <w:tcW w:type="dxa" w:w="1134"/>
          </w:tcPr>
          <w:p>
            <w:pPr>
              <w:jc w:val="center"/>
            </w:pPr>
            <w:r/>
            <w:r>
              <w:rPr>
                <w:b w:val="0"/>
                <w:sz w:val="18"/>
              </w:rPr>
              <w:t>Cordes</w:t>
            </w:r>
          </w:p>
        </w:tc>
        <w:tc>
          <w:tcPr>
            <w:tcW w:type="dxa" w:w="850"/>
          </w:tcPr>
          <w:p>
            <w:pPr>
              <w:jc w:val="center"/>
            </w:pPr>
            <w:r/>
            <w:r>
              <w:rPr>
                <w:b w:val="0"/>
                <w:sz w:val="18"/>
              </w:rPr>
              <w:t>495</w:t>
            </w:r>
          </w:p>
        </w:tc>
        <w:tc>
          <w:tcPr>
            <w:tcW w:type="dxa" w:w="850"/>
          </w:tcPr>
          <w:p>
            <w:pPr>
              <w:jc w:val="center"/>
            </w:pPr>
            <w:r/>
            <w:r>
              <w:rPr>
                <w:b w:val="0"/>
                <w:sz w:val="18"/>
              </w:rPr>
              <w:t>/o/</w:t>
            </w:r>
          </w:p>
        </w:tc>
        <w:tc>
          <w:tcPr>
            <w:tcW w:type="dxa" w:w="1134"/>
          </w:tcPr>
          <w:p>
            <w:pPr>
              <w:jc w:val="center"/>
            </w:pPr>
            <w:r/>
            <w:r>
              <w:rPr>
                <w:b w:val="0"/>
                <w:sz w:val="18"/>
              </w:rPr>
              <w:t>11 Hz ★</w:t>
            </w:r>
          </w:p>
        </w:tc>
      </w:tr>
      <w:tr>
        <w:tc>
          <w:tcPr>
            <w:tcW w:type="dxa" w:w="1701"/>
          </w:tcPr>
          <w:p>
            <w:pPr>
              <w:jc w:val="center"/>
            </w:pPr>
            <w:r/>
            <w:r>
              <w:rPr>
                <w:b/>
                <w:sz w:val="18"/>
              </w:rPr>
              <w:t>Violon</w:t>
            </w:r>
          </w:p>
        </w:tc>
        <w:tc>
          <w:tcPr>
            <w:tcW w:type="dxa" w:w="1134"/>
          </w:tcPr>
          <w:p>
            <w:pPr>
              <w:jc w:val="center"/>
            </w:pPr>
            <w:r/>
            <w:r>
              <w:rPr>
                <w:b w:val="0"/>
                <w:sz w:val="18"/>
              </w:rPr>
              <w:t>Cordes</w:t>
            </w:r>
          </w:p>
        </w:tc>
        <w:tc>
          <w:tcPr>
            <w:tcW w:type="dxa" w:w="850"/>
          </w:tcPr>
          <w:p>
            <w:pPr>
              <w:jc w:val="center"/>
            </w:pPr>
            <w:r/>
            <w:r>
              <w:rPr>
                <w:b w:val="0"/>
                <w:sz w:val="18"/>
              </w:rPr>
              <w:t>506</w:t>
            </w:r>
          </w:p>
        </w:tc>
        <w:tc>
          <w:tcPr>
            <w:tcW w:type="dxa" w:w="850"/>
          </w:tcPr>
          <w:p>
            <w:pPr>
              <w:jc w:val="center"/>
            </w:pPr>
            <w:r/>
            <w:r>
              <w:rPr>
                <w:b w:val="0"/>
                <w:sz w:val="18"/>
              </w:rPr>
              <w:t>/o/</w:t>
            </w:r>
          </w:p>
        </w:tc>
        <w:tc>
          <w:tcPr>
            <w:tcW w:type="dxa" w:w="1134"/>
          </w:tcPr>
          <w:p>
            <w:pPr>
              <w:jc w:val="center"/>
            </w:pPr>
            <w:r/>
            <w:r>
              <w:rPr>
                <w:b w:val="0"/>
                <w:sz w:val="18"/>
              </w:rPr>
              <w:t>— (réf.)</w:t>
            </w:r>
          </w:p>
        </w:tc>
      </w:tr>
    </w:tbl>
    <w:p/>
    <w:p>
      <w:pPr>
        <w:pStyle w:val="Heading2"/>
      </w:pPr>
      <w:r>
        <w:rPr>
          <w:color w:val="2E7D32"/>
        </w:rPr>
        <w:t>Positions F1/Fp — 20 instruments de base</w:t>
      </w:r>
    </w:p>
    <w:p>
      <w:pPr>
        <w:jc w:val="center"/>
      </w:pPr>
      <w:r>
        <w:drawing>
          <wp:inline xmlns:a="http://schemas.openxmlformats.org/drawingml/2006/main" xmlns:pic="http://schemas.openxmlformats.org/drawingml/2006/picture">
            <wp:extent cx="5943600" cy="3208902"/>
            <wp:docPr id="6" name="Picture 6"/>
            <wp:cNvGraphicFramePr>
              <a:graphicFrameLocks noChangeAspect="1"/>
            </wp:cNvGraphicFramePr>
            <a:graphic>
              <a:graphicData uri="http://schemas.openxmlformats.org/drawingml/2006/picture">
                <pic:pic>
                  <pic:nvPicPr>
                    <pic:cNvPr id="0" name="synthese_f1_base.png"/>
                    <pic:cNvPicPr/>
                  </pic:nvPicPr>
                  <pic:blipFill>
                    <a:blip r:embed="rId14"/>
                    <a:stretch>
                      <a:fillRect/>
                    </a:stretch>
                  </pic:blipFill>
                  <pic:spPr>
                    <a:xfrm>
                      <a:off x="0" y="0"/>
                      <a:ext cx="5943600" cy="3208902"/>
                    </a:xfrm>
                    <a:prstGeom prst="rect"/>
                  </pic:spPr>
                </pic:pic>
              </a:graphicData>
            </a:graphic>
          </wp:inline>
        </w:drawing>
      </w:r>
    </w:p>
    <w:p/>
    <w:p>
      <w:pPr>
        <w:pStyle w:val="Heading2"/>
      </w:pPr>
      <w:r>
        <w:rPr>
          <w:color w:val="2E7D32"/>
        </w:rPr>
        <w:t>Matrice de Convergence — Instruments de base</w:t>
      </w:r>
    </w:p>
    <w:p>
      <w:r>
        <w:rPr>
          <w:b w:val="0"/>
          <w:i/>
          <w:sz w:val="20"/>
        </w:rPr>
        <w:t>Valeurs en Hz entre F1 des paires d'instruments. Vert = forte convergence (Δ faible).</w:t>
      </w:r>
    </w:p>
    <w:p>
      <w:pPr>
        <w:jc w:val="center"/>
      </w:pPr>
      <w:r>
        <w:drawing>
          <wp:inline xmlns:a="http://schemas.openxmlformats.org/drawingml/2006/main" xmlns:pic="http://schemas.openxmlformats.org/drawingml/2006/picture">
            <wp:extent cx="5943600" cy="5048865"/>
            <wp:docPr id="7" name="Picture 7"/>
            <wp:cNvGraphicFramePr>
              <a:graphicFrameLocks noChangeAspect="1"/>
            </wp:cNvGraphicFramePr>
            <a:graphic>
              <a:graphicData uri="http://schemas.openxmlformats.org/drawingml/2006/picture">
                <pic:pic>
                  <pic:nvPicPr>
                    <pic:cNvPr id="0" name="synthese_matrix_base.png"/>
                    <pic:cNvPicPr/>
                  </pic:nvPicPr>
                  <pic:blipFill>
                    <a:blip r:embed="rId15"/>
                    <a:stretch>
                      <a:fillRect/>
                    </a:stretch>
                  </pic:blipFill>
                  <pic:spPr>
                    <a:xfrm>
                      <a:off x="0" y="0"/>
                      <a:ext cx="5943600" cy="5048865"/>
                    </a:xfrm>
                    <a:prstGeom prst="rect"/>
                  </pic:spPr>
                </pic:pic>
              </a:graphicData>
            </a:graphic>
          </wp:inline>
        </w:drawing>
      </w:r>
    </w:p>
    <w:p/>
    <w:p>
      <w:pPr>
        <w:pStyle w:val="Heading2"/>
      </w:pPr>
      <w:r>
        <w:rPr>
          <w:color w:val="2E7D32"/>
        </w:rPr>
        <w:t>Matrice de Convergence — Tous instruments (avec sourdines)</w:t>
      </w:r>
    </w:p>
    <w:p>
      <w:pPr>
        <w:jc w:val="center"/>
      </w:pPr>
      <w:r>
        <w:drawing>
          <wp:inline xmlns:a="http://schemas.openxmlformats.org/drawingml/2006/main" xmlns:pic="http://schemas.openxmlformats.org/drawingml/2006/picture">
            <wp:extent cx="5943600" cy="6415041"/>
            <wp:docPr id="8" name="Picture 8"/>
            <wp:cNvGraphicFramePr>
              <a:graphicFrameLocks noChangeAspect="1"/>
            </wp:cNvGraphicFramePr>
            <a:graphic>
              <a:graphicData uri="http://schemas.openxmlformats.org/drawingml/2006/picture">
                <pic:pic>
                  <pic:nvPicPr>
                    <pic:cNvPr id="0" name="synthese_matrix_full.png"/>
                    <pic:cNvPicPr/>
                  </pic:nvPicPr>
                  <pic:blipFill>
                    <a:blip r:embed="rId16"/>
                    <a:stretch>
                      <a:fillRect/>
                    </a:stretch>
                  </pic:blipFill>
                  <pic:spPr>
                    <a:xfrm>
                      <a:off x="0" y="0"/>
                      <a:ext cx="5943600" cy="6415041"/>
                    </a:xfrm>
                    <a:prstGeom prst="rect"/>
                  </pic:spPr>
                </pic:pic>
              </a:graphicData>
            </a:graphic>
          </wp:inline>
        </w:drawing>
      </w:r>
    </w:p>
    <w:p/>
    <w:p>
      <w:pPr>
        <w:pStyle w:val="Heading2"/>
      </w:pPr>
      <w:r>
        <w:rPr>
          <w:color w:val="2E7D32"/>
        </w:rPr>
        <w:t>Tableau des Doublures Vérifiées (classées par Δ)</w:t>
      </w:r>
    </w:p>
    <w:tbl>
      <w:tblPr>
        <w:tblStyle w:val="TableGrid"/>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417"/>
            <w:shd w:fill="1B5E20"/>
          </w:tcPr>
          <w:p>
            <w:pPr>
              <w:jc w:val="center"/>
            </w:pPr>
            <w:r/>
            <w:r>
              <w:rPr>
                <w:b/>
                <w:color w:val="FFFFFF"/>
                <w:sz w:val="16"/>
              </w:rPr>
              <w:t>Inst. A</w:t>
            </w:r>
          </w:p>
        </w:tc>
        <w:tc>
          <w:tcPr>
            <w:tcW w:type="dxa" w:w="624"/>
            <w:shd w:fill="1B5E20"/>
          </w:tcPr>
          <w:p>
            <w:pPr>
              <w:jc w:val="center"/>
            </w:pPr>
            <w:r/>
            <w:r>
              <w:rPr>
                <w:b/>
                <w:color w:val="FFFFFF"/>
                <w:sz w:val="16"/>
              </w:rPr>
              <w:t>F1 A</w:t>
            </w:r>
          </w:p>
        </w:tc>
        <w:tc>
          <w:tcPr>
            <w:tcW w:type="dxa" w:w="1417"/>
            <w:shd w:fill="1B5E20"/>
          </w:tcPr>
          <w:p>
            <w:pPr>
              <w:jc w:val="center"/>
            </w:pPr>
            <w:r/>
            <w:r>
              <w:rPr>
                <w:b/>
                <w:color w:val="FFFFFF"/>
                <w:sz w:val="16"/>
              </w:rPr>
              <w:t>Inst. B</w:t>
            </w:r>
          </w:p>
        </w:tc>
        <w:tc>
          <w:tcPr>
            <w:tcW w:type="dxa" w:w="624"/>
            <w:shd w:fill="1B5E20"/>
          </w:tcPr>
          <w:p>
            <w:pPr>
              <w:jc w:val="center"/>
            </w:pPr>
            <w:r/>
            <w:r>
              <w:rPr>
                <w:b/>
                <w:color w:val="FFFFFF"/>
                <w:sz w:val="16"/>
              </w:rPr>
              <w:t>F1 B</w:t>
            </w:r>
          </w:p>
        </w:tc>
        <w:tc>
          <w:tcPr>
            <w:tcW w:type="dxa" w:w="624"/>
            <w:shd w:fill="1B5E20"/>
          </w:tcPr>
          <w:p>
            <w:pPr>
              <w:jc w:val="center"/>
            </w:pPr>
            <w:r/>
            <w:r>
              <w:rPr>
                <w:b/>
                <w:color w:val="FFFFFF"/>
                <w:sz w:val="16"/>
              </w:rPr>
              <w:t>Δ (Hz)</w:t>
            </w:r>
          </w:p>
        </w:tc>
        <w:tc>
          <w:tcPr>
            <w:tcW w:type="dxa" w:w="1247"/>
            <w:shd w:fill="1B5E20"/>
          </w:tcPr>
          <w:p>
            <w:pPr>
              <w:jc w:val="center"/>
            </w:pPr>
            <w:r/>
            <w:r>
              <w:rPr>
                <w:b/>
                <w:color w:val="FFFFFF"/>
                <w:sz w:val="16"/>
              </w:rPr>
              <w:t>Qualité</w:t>
            </w:r>
          </w:p>
        </w:tc>
        <w:tc>
          <w:tcPr>
            <w:tcW w:type="dxa" w:w="510"/>
            <w:shd w:fill="1B5E20"/>
          </w:tcPr>
          <w:p>
            <w:pPr>
              <w:jc w:val="center"/>
            </w:pPr>
            <w:r/>
            <w:r>
              <w:rPr>
                <w:b/>
                <w:color w:val="FFFFFF"/>
                <w:sz w:val="16"/>
              </w:rPr>
              <w:t>Zone</w:t>
            </w:r>
          </w:p>
        </w:tc>
        <w:tc>
          <w:tcPr>
            <w:tcW w:type="dxa" w:w="1020"/>
            <w:shd w:fill="1B5E20"/>
          </w:tcPr>
          <w:p>
            <w:pPr>
              <w:jc w:val="center"/>
            </w:pPr>
            <w:r/>
            <w:r>
              <w:rPr>
                <w:b/>
                <w:color w:val="FFFFFF"/>
                <w:sz w:val="16"/>
              </w:rPr>
              <w:t>Rapport</w:t>
            </w:r>
          </w:p>
        </w:tc>
      </w:tr>
      <w:tr>
        <w:tc>
          <w:tcPr>
            <w:tcW w:type="dxa" w:w="1417"/>
            <w:shd w:fill="D5F5E3"/>
          </w:tcPr>
          <w:p>
            <w:pPr>
              <w:jc w:val="center"/>
            </w:pPr>
            <w:r/>
            <w:r>
              <w:rPr>
                <w:b/>
                <w:sz w:val="16"/>
              </w:rPr>
              <w:t>Flûte</w:t>
            </w:r>
          </w:p>
        </w:tc>
        <w:tc>
          <w:tcPr>
            <w:tcW w:type="dxa" w:w="624"/>
            <w:shd w:fill="D5F5E3"/>
          </w:tcPr>
          <w:p>
            <w:pPr>
              <w:jc w:val="center"/>
            </w:pPr>
            <w:r/>
            <w:r>
              <w:rPr>
                <w:b w:val="0"/>
                <w:sz w:val="16"/>
              </w:rPr>
              <w:t>743</w:t>
            </w:r>
          </w:p>
        </w:tc>
        <w:tc>
          <w:tcPr>
            <w:tcW w:type="dxa" w:w="1417"/>
            <w:shd w:fill="D5F5E3"/>
          </w:tcPr>
          <w:p>
            <w:pPr>
              <w:jc w:val="center"/>
            </w:pPr>
            <w:r/>
            <w:r>
              <w:rPr>
                <w:b/>
                <w:sz w:val="16"/>
              </w:rPr>
              <w:t>Hautbois</w:t>
            </w:r>
          </w:p>
        </w:tc>
        <w:tc>
          <w:tcPr>
            <w:tcW w:type="dxa" w:w="624"/>
            <w:shd w:fill="D5F5E3"/>
          </w:tcPr>
          <w:p>
            <w:pPr>
              <w:jc w:val="center"/>
            </w:pPr>
            <w:r/>
            <w:r>
              <w:rPr>
                <w:b w:val="0"/>
                <w:sz w:val="16"/>
              </w:rPr>
              <w:t>743</w:t>
            </w:r>
          </w:p>
        </w:tc>
        <w:tc>
          <w:tcPr>
            <w:tcW w:type="dxa" w:w="624"/>
            <w:shd w:fill="D5F5E3"/>
          </w:tcPr>
          <w:p>
            <w:pPr>
              <w:jc w:val="center"/>
            </w:pPr>
            <w:r/>
            <w:r>
              <w:rPr>
                <w:b w:val="0"/>
                <w:sz w:val="16"/>
              </w:rPr>
              <w:t>0</w:t>
            </w:r>
          </w:p>
        </w:tc>
        <w:tc>
          <w:tcPr>
            <w:tcW w:type="dxa" w:w="1247"/>
            <w:shd w:fill="D5F5E3"/>
          </w:tcPr>
          <w:p>
            <w:pPr>
              <w:jc w:val="center"/>
            </w:pPr>
            <w:r/>
            <w:r>
              <w:rPr>
                <w:b w:val="0"/>
                <w:sz w:val="16"/>
              </w:rPr>
              <w:t>Quasi-parfaite ★</w:t>
            </w:r>
          </w:p>
        </w:tc>
        <w:tc>
          <w:tcPr>
            <w:tcW w:type="dxa" w:w="510"/>
            <w:shd w:fill="D5F5E3"/>
          </w:tcPr>
          <w:p>
            <w:pPr>
              <w:jc w:val="center"/>
            </w:pPr>
            <w:r/>
            <w:r>
              <w:rPr>
                <w:b w:val="0"/>
                <w:sz w:val="16"/>
              </w:rPr>
              <w:t>/å/</w:t>
            </w:r>
          </w:p>
        </w:tc>
        <w:tc>
          <w:tcPr>
            <w:tcW w:type="dxa" w:w="1020"/>
            <w:shd w:fill="D5F5E3"/>
          </w:tcPr>
          <w:p>
            <w:pPr>
              <w:jc w:val="center"/>
            </w:pPr>
            <w:r/>
            <w:r>
              <w:rPr>
                <w:b w:val="0"/>
                <w:sz w:val="16"/>
              </w:rPr>
              <w:t>Unisson</w:t>
            </w:r>
          </w:p>
        </w:tc>
      </w:tr>
      <w:tr>
        <w:tc>
          <w:tcPr>
            <w:tcW w:type="dxa" w:w="1417"/>
            <w:shd w:fill="D5F5E3"/>
          </w:tcPr>
          <w:p>
            <w:pPr>
              <w:jc w:val="center"/>
            </w:pPr>
            <w:r/>
            <w:r>
              <w:rPr>
                <w:b/>
                <w:sz w:val="16"/>
              </w:rPr>
              <w:t>Tuba CB</w:t>
            </w:r>
          </w:p>
        </w:tc>
        <w:tc>
          <w:tcPr>
            <w:tcW w:type="dxa" w:w="624"/>
            <w:shd w:fill="D5F5E3"/>
          </w:tcPr>
          <w:p>
            <w:pPr>
              <w:jc w:val="center"/>
            </w:pPr>
            <w:r/>
            <w:r>
              <w:rPr>
                <w:b w:val="0"/>
                <w:sz w:val="16"/>
              </w:rPr>
              <w:t>226</w:t>
            </w:r>
          </w:p>
        </w:tc>
        <w:tc>
          <w:tcPr>
            <w:tcW w:type="dxa" w:w="1417"/>
            <w:shd w:fill="D5F5E3"/>
          </w:tcPr>
          <w:p>
            <w:pPr>
              <w:jc w:val="center"/>
            </w:pPr>
            <w:r/>
            <w:r>
              <w:rPr>
                <w:b/>
                <w:sz w:val="16"/>
              </w:rPr>
              <w:t>Contrebasson</w:t>
            </w:r>
          </w:p>
        </w:tc>
        <w:tc>
          <w:tcPr>
            <w:tcW w:type="dxa" w:w="624"/>
            <w:shd w:fill="D5F5E3"/>
          </w:tcPr>
          <w:p>
            <w:pPr>
              <w:jc w:val="center"/>
            </w:pPr>
            <w:r/>
            <w:r>
              <w:rPr>
                <w:b w:val="0"/>
                <w:sz w:val="16"/>
              </w:rPr>
              <w:t>226</w:t>
            </w:r>
          </w:p>
        </w:tc>
        <w:tc>
          <w:tcPr>
            <w:tcW w:type="dxa" w:w="624"/>
            <w:shd w:fill="D5F5E3"/>
          </w:tcPr>
          <w:p>
            <w:pPr>
              <w:jc w:val="center"/>
            </w:pPr>
            <w:r/>
            <w:r>
              <w:rPr>
                <w:b w:val="0"/>
                <w:sz w:val="16"/>
              </w:rPr>
              <w:t>0</w:t>
            </w:r>
          </w:p>
        </w:tc>
        <w:tc>
          <w:tcPr>
            <w:tcW w:type="dxa" w:w="1247"/>
            <w:shd w:fill="D5F5E3"/>
          </w:tcPr>
          <w:p>
            <w:pPr>
              <w:jc w:val="center"/>
            </w:pPr>
            <w:r/>
            <w:r>
              <w:rPr>
                <w:b w:val="0"/>
                <w:sz w:val="16"/>
              </w:rPr>
              <w:t>Quasi-parfaite ★</w:t>
            </w:r>
          </w:p>
        </w:tc>
        <w:tc>
          <w:tcPr>
            <w:tcW w:type="dxa" w:w="510"/>
            <w:shd w:fill="D5F5E3"/>
          </w:tcPr>
          <w:p>
            <w:pPr>
              <w:jc w:val="center"/>
            </w:pPr>
            <w:r/>
            <w:r>
              <w:rPr>
                <w:b w:val="0"/>
                <w:sz w:val="16"/>
              </w:rPr>
              <w:t>/u/</w:t>
            </w:r>
          </w:p>
        </w:tc>
        <w:tc>
          <w:tcPr>
            <w:tcW w:type="dxa" w:w="1020"/>
            <w:shd w:fill="D5F5E3"/>
          </w:tcPr>
          <w:p>
            <w:pPr>
              <w:jc w:val="center"/>
            </w:pPr>
            <w:r/>
            <w:r>
              <w:rPr>
                <w:b w:val="0"/>
                <w:sz w:val="16"/>
              </w:rPr>
              <w:t>Unisson</w:t>
            </w:r>
          </w:p>
        </w:tc>
      </w:tr>
      <w:tr>
        <w:tc>
          <w:tcPr>
            <w:tcW w:type="dxa" w:w="1417"/>
            <w:shd w:fill="D5F5E3"/>
          </w:tcPr>
          <w:p>
            <w:pPr>
              <w:jc w:val="center"/>
            </w:pPr>
            <w:r/>
            <w:r>
              <w:rPr>
                <w:b/>
                <w:sz w:val="16"/>
              </w:rPr>
              <w:t>Tuba CB</w:t>
            </w:r>
          </w:p>
        </w:tc>
        <w:tc>
          <w:tcPr>
            <w:tcW w:type="dxa" w:w="624"/>
            <w:shd w:fill="D5F5E3"/>
          </w:tcPr>
          <w:p>
            <w:pPr>
              <w:jc w:val="center"/>
            </w:pPr>
            <w:r/>
            <w:r>
              <w:rPr>
                <w:b w:val="0"/>
                <w:sz w:val="16"/>
              </w:rPr>
              <w:t>226</w:t>
            </w:r>
          </w:p>
        </w:tc>
        <w:tc>
          <w:tcPr>
            <w:tcW w:type="dxa" w:w="1417"/>
            <w:shd w:fill="D5F5E3"/>
          </w:tcPr>
          <w:p>
            <w:pPr>
              <w:jc w:val="center"/>
            </w:pPr>
            <w:r/>
            <w:r>
              <w:rPr>
                <w:b/>
                <w:sz w:val="16"/>
              </w:rPr>
              <w:t>Tuba basse</w:t>
            </w:r>
          </w:p>
        </w:tc>
        <w:tc>
          <w:tcPr>
            <w:tcW w:type="dxa" w:w="624"/>
            <w:shd w:fill="D5F5E3"/>
          </w:tcPr>
          <w:p>
            <w:pPr>
              <w:jc w:val="center"/>
            </w:pPr>
            <w:r/>
            <w:r>
              <w:rPr>
                <w:b w:val="0"/>
                <w:sz w:val="16"/>
              </w:rPr>
              <w:t>226</w:t>
            </w:r>
          </w:p>
        </w:tc>
        <w:tc>
          <w:tcPr>
            <w:tcW w:type="dxa" w:w="624"/>
            <w:shd w:fill="D5F5E3"/>
          </w:tcPr>
          <w:p>
            <w:pPr>
              <w:jc w:val="center"/>
            </w:pPr>
            <w:r/>
            <w:r>
              <w:rPr>
                <w:b w:val="0"/>
                <w:sz w:val="16"/>
              </w:rPr>
              <w:t>0</w:t>
            </w:r>
          </w:p>
        </w:tc>
        <w:tc>
          <w:tcPr>
            <w:tcW w:type="dxa" w:w="1247"/>
            <w:shd w:fill="D5F5E3"/>
          </w:tcPr>
          <w:p>
            <w:pPr>
              <w:jc w:val="center"/>
            </w:pPr>
            <w:r/>
            <w:r>
              <w:rPr>
                <w:b w:val="0"/>
                <w:sz w:val="16"/>
              </w:rPr>
              <w:t>Quasi-parfaite ★</w:t>
            </w:r>
          </w:p>
        </w:tc>
        <w:tc>
          <w:tcPr>
            <w:tcW w:type="dxa" w:w="510"/>
            <w:shd w:fill="D5F5E3"/>
          </w:tcPr>
          <w:p>
            <w:pPr>
              <w:jc w:val="center"/>
            </w:pPr>
            <w:r/>
            <w:r>
              <w:rPr>
                <w:b w:val="0"/>
                <w:sz w:val="16"/>
              </w:rPr>
              <w:t>/u/</w:t>
            </w:r>
          </w:p>
        </w:tc>
        <w:tc>
          <w:tcPr>
            <w:tcW w:type="dxa" w:w="1020"/>
            <w:shd w:fill="D5F5E3"/>
          </w:tcPr>
          <w:p>
            <w:pPr>
              <w:jc w:val="center"/>
            </w:pPr>
            <w:r/>
            <w:r>
              <w:rPr>
                <w:b w:val="0"/>
                <w:sz w:val="16"/>
              </w:rPr>
              <w:t>Octave</w:t>
            </w:r>
          </w:p>
        </w:tc>
      </w:tr>
      <w:tr>
        <w:tc>
          <w:tcPr>
            <w:tcW w:type="dxa" w:w="1417"/>
            <w:shd w:fill="D5F5E3"/>
          </w:tcPr>
          <w:p>
            <w:pPr>
              <w:jc w:val="center"/>
            </w:pPr>
            <w:r/>
            <w:r>
              <w:rPr>
                <w:b/>
                <w:sz w:val="16"/>
              </w:rPr>
              <w:t>Cor</w:t>
            </w:r>
          </w:p>
        </w:tc>
        <w:tc>
          <w:tcPr>
            <w:tcW w:type="dxa" w:w="624"/>
            <w:shd w:fill="D5F5E3"/>
          </w:tcPr>
          <w:p>
            <w:pPr>
              <w:jc w:val="center"/>
            </w:pPr>
            <w:r/>
            <w:r>
              <w:rPr>
                <w:b w:val="0"/>
                <w:sz w:val="16"/>
              </w:rPr>
              <w:t>388</w:t>
            </w:r>
          </w:p>
        </w:tc>
        <w:tc>
          <w:tcPr>
            <w:tcW w:type="dxa" w:w="1417"/>
            <w:shd w:fill="D5F5E3"/>
          </w:tcPr>
          <w:p>
            <w:pPr>
              <w:jc w:val="center"/>
            </w:pPr>
            <w:r/>
            <w:r>
              <w:rPr>
                <w:b/>
                <w:sz w:val="16"/>
              </w:rPr>
              <w:t>Alto</w:t>
            </w:r>
          </w:p>
        </w:tc>
        <w:tc>
          <w:tcPr>
            <w:tcW w:type="dxa" w:w="624"/>
            <w:shd w:fill="D5F5E3"/>
          </w:tcPr>
          <w:p>
            <w:pPr>
              <w:jc w:val="center"/>
            </w:pPr>
            <w:r/>
            <w:r>
              <w:rPr>
                <w:b w:val="0"/>
                <w:sz w:val="16"/>
              </w:rPr>
              <w:t>377</w:t>
            </w:r>
          </w:p>
        </w:tc>
        <w:tc>
          <w:tcPr>
            <w:tcW w:type="dxa" w:w="624"/>
            <w:shd w:fill="D5F5E3"/>
          </w:tcPr>
          <w:p>
            <w:pPr>
              <w:jc w:val="center"/>
            </w:pPr>
            <w:r/>
            <w:r>
              <w:rPr>
                <w:b w:val="0"/>
                <w:sz w:val="16"/>
              </w:rPr>
              <w:t>11</w:t>
            </w:r>
          </w:p>
        </w:tc>
        <w:tc>
          <w:tcPr>
            <w:tcW w:type="dxa" w:w="1247"/>
            <w:shd w:fill="D5F5E3"/>
          </w:tcPr>
          <w:p>
            <w:pPr>
              <w:jc w:val="center"/>
            </w:pPr>
            <w:r/>
            <w:r>
              <w:rPr>
                <w:b w:val="0"/>
                <w:sz w:val="16"/>
              </w:rPr>
              <w:t>Quasi-parfaite</w:t>
            </w:r>
          </w:p>
        </w:tc>
        <w:tc>
          <w:tcPr>
            <w:tcW w:type="dxa" w:w="510"/>
            <w:shd w:fill="D5F5E3"/>
          </w:tcPr>
          <w:p>
            <w:pPr>
              <w:jc w:val="center"/>
            </w:pPr>
            <w:r/>
            <w:r>
              <w:rPr>
                <w:b w:val="0"/>
                <w:sz w:val="16"/>
              </w:rPr>
              <w:t>/o/</w:t>
            </w:r>
          </w:p>
        </w:tc>
        <w:tc>
          <w:tcPr>
            <w:tcW w:type="dxa" w:w="1020"/>
            <w:shd w:fill="D5F5E3"/>
          </w:tcPr>
          <w:p>
            <w:pPr>
              <w:jc w:val="center"/>
            </w:pPr>
            <w:r/>
            <w:r>
              <w:rPr>
                <w:b w:val="0"/>
                <w:sz w:val="16"/>
              </w:rPr>
              <w:t>Unisson</w:t>
            </w:r>
          </w:p>
        </w:tc>
      </w:tr>
      <w:tr>
        <w:tc>
          <w:tcPr>
            <w:tcW w:type="dxa" w:w="1417"/>
            <w:shd w:fill="D5F5E3"/>
          </w:tcPr>
          <w:p>
            <w:pPr>
              <w:jc w:val="center"/>
            </w:pPr>
            <w:r/>
            <w:r>
              <w:rPr>
                <w:b/>
                <w:sz w:val="16"/>
              </w:rPr>
              <w:t>Cor anglais</w:t>
            </w:r>
          </w:p>
        </w:tc>
        <w:tc>
          <w:tcPr>
            <w:tcW w:type="dxa" w:w="624"/>
            <w:shd w:fill="D5F5E3"/>
          </w:tcPr>
          <w:p>
            <w:pPr>
              <w:jc w:val="center"/>
            </w:pPr>
            <w:r/>
            <w:r>
              <w:rPr>
                <w:b w:val="0"/>
                <w:sz w:val="16"/>
              </w:rPr>
              <w:t>452</w:t>
            </w:r>
          </w:p>
        </w:tc>
        <w:tc>
          <w:tcPr>
            <w:tcW w:type="dxa" w:w="1417"/>
            <w:shd w:fill="D5F5E3"/>
          </w:tcPr>
          <w:p>
            <w:pPr>
              <w:jc w:val="center"/>
            </w:pPr>
            <w:r/>
            <w:r>
              <w:rPr>
                <w:b/>
                <w:sz w:val="16"/>
              </w:rPr>
              <w:t>Cl. Sib</w:t>
            </w:r>
          </w:p>
        </w:tc>
        <w:tc>
          <w:tcPr>
            <w:tcW w:type="dxa" w:w="624"/>
            <w:shd w:fill="D5F5E3"/>
          </w:tcPr>
          <w:p>
            <w:pPr>
              <w:jc w:val="center"/>
            </w:pPr>
            <w:r/>
            <w:r>
              <w:rPr>
                <w:b w:val="0"/>
                <w:sz w:val="16"/>
              </w:rPr>
              <w:t>463</w:t>
            </w:r>
          </w:p>
        </w:tc>
        <w:tc>
          <w:tcPr>
            <w:tcW w:type="dxa" w:w="624"/>
            <w:shd w:fill="D5F5E3"/>
          </w:tcPr>
          <w:p>
            <w:pPr>
              <w:jc w:val="center"/>
            </w:pPr>
            <w:r/>
            <w:r>
              <w:rPr>
                <w:b w:val="0"/>
                <w:sz w:val="16"/>
              </w:rPr>
              <w:t>11</w:t>
            </w:r>
          </w:p>
        </w:tc>
        <w:tc>
          <w:tcPr>
            <w:tcW w:type="dxa" w:w="1247"/>
            <w:shd w:fill="D5F5E3"/>
          </w:tcPr>
          <w:p>
            <w:pPr>
              <w:jc w:val="center"/>
            </w:pPr>
            <w:r/>
            <w:r>
              <w:rPr>
                <w:b w:val="0"/>
                <w:sz w:val="16"/>
              </w:rPr>
              <w:t>Quasi-parfaite</w:t>
            </w:r>
          </w:p>
        </w:tc>
        <w:tc>
          <w:tcPr>
            <w:tcW w:type="dxa" w:w="510"/>
            <w:shd w:fill="D5F5E3"/>
          </w:tcPr>
          <w:p>
            <w:pPr>
              <w:jc w:val="center"/>
            </w:pPr>
            <w:r/>
            <w:r>
              <w:rPr>
                <w:b w:val="0"/>
                <w:sz w:val="16"/>
              </w:rPr>
              <w:t>/o/</w:t>
            </w:r>
          </w:p>
        </w:tc>
        <w:tc>
          <w:tcPr>
            <w:tcW w:type="dxa" w:w="1020"/>
            <w:shd w:fill="D5F5E3"/>
          </w:tcPr>
          <w:p>
            <w:pPr>
              <w:jc w:val="center"/>
            </w:pPr>
            <w:r/>
            <w:r>
              <w:rPr>
                <w:b w:val="0"/>
                <w:sz w:val="16"/>
              </w:rPr>
              <w:t>Unisson</w:t>
            </w:r>
          </w:p>
        </w:tc>
      </w:tr>
      <w:tr>
        <w:tc>
          <w:tcPr>
            <w:tcW w:type="dxa" w:w="1417"/>
            <w:shd w:fill="D5F5E3"/>
          </w:tcPr>
          <w:p>
            <w:pPr>
              <w:jc w:val="center"/>
            </w:pPr>
            <w:r/>
            <w:r>
              <w:rPr>
                <w:b/>
                <w:sz w:val="16"/>
              </w:rPr>
              <w:t>Violon</w:t>
            </w:r>
          </w:p>
        </w:tc>
        <w:tc>
          <w:tcPr>
            <w:tcW w:type="dxa" w:w="624"/>
            <w:shd w:fill="D5F5E3"/>
          </w:tcPr>
          <w:p>
            <w:pPr>
              <w:jc w:val="center"/>
            </w:pPr>
            <w:r/>
            <w:r>
              <w:rPr>
                <w:b w:val="0"/>
                <w:sz w:val="16"/>
              </w:rPr>
              <w:t>506</w:t>
            </w:r>
          </w:p>
        </w:tc>
        <w:tc>
          <w:tcPr>
            <w:tcW w:type="dxa" w:w="1417"/>
            <w:shd w:fill="D5F5E3"/>
          </w:tcPr>
          <w:p>
            <w:pPr>
              <w:jc w:val="center"/>
            </w:pPr>
            <w:r/>
            <w:r>
              <w:rPr>
                <w:b/>
                <w:sz w:val="16"/>
              </w:rPr>
              <w:t>Basson</w:t>
            </w:r>
          </w:p>
        </w:tc>
        <w:tc>
          <w:tcPr>
            <w:tcW w:type="dxa" w:w="624"/>
            <w:shd w:fill="D5F5E3"/>
          </w:tcPr>
          <w:p>
            <w:pPr>
              <w:jc w:val="center"/>
            </w:pPr>
            <w:r/>
            <w:r>
              <w:rPr>
                <w:b w:val="0"/>
                <w:sz w:val="16"/>
              </w:rPr>
              <w:t>495</w:t>
            </w:r>
          </w:p>
        </w:tc>
        <w:tc>
          <w:tcPr>
            <w:tcW w:type="dxa" w:w="624"/>
            <w:shd w:fill="D5F5E3"/>
          </w:tcPr>
          <w:p>
            <w:pPr>
              <w:jc w:val="center"/>
            </w:pPr>
            <w:r/>
            <w:r>
              <w:rPr>
                <w:b w:val="0"/>
                <w:sz w:val="16"/>
              </w:rPr>
              <w:t>11</w:t>
            </w:r>
          </w:p>
        </w:tc>
        <w:tc>
          <w:tcPr>
            <w:tcW w:type="dxa" w:w="1247"/>
            <w:shd w:fill="D5F5E3"/>
          </w:tcPr>
          <w:p>
            <w:pPr>
              <w:jc w:val="center"/>
            </w:pPr>
            <w:r/>
            <w:r>
              <w:rPr>
                <w:b w:val="0"/>
                <w:sz w:val="16"/>
              </w:rPr>
              <w:t>Quasi-parfaite</w:t>
            </w:r>
          </w:p>
        </w:tc>
        <w:tc>
          <w:tcPr>
            <w:tcW w:type="dxa" w:w="510"/>
            <w:shd w:fill="D5F5E3"/>
          </w:tcPr>
          <w:p>
            <w:pPr>
              <w:jc w:val="center"/>
            </w:pPr>
            <w:r/>
            <w:r>
              <w:rPr>
                <w:b w:val="0"/>
                <w:sz w:val="16"/>
              </w:rPr>
              <w:t>/o/</w:t>
            </w:r>
          </w:p>
        </w:tc>
        <w:tc>
          <w:tcPr>
            <w:tcW w:type="dxa" w:w="1020"/>
            <w:shd w:fill="D5F5E3"/>
          </w:tcPr>
          <w:p>
            <w:pPr>
              <w:jc w:val="center"/>
            </w:pPr>
            <w:r/>
            <w:r>
              <w:rPr>
                <w:b w:val="0"/>
                <w:sz w:val="16"/>
              </w:rPr>
              <w:t>Unisson</w:t>
            </w:r>
          </w:p>
        </w:tc>
      </w:tr>
      <w:tr>
        <w:tc>
          <w:tcPr>
            <w:tcW w:type="dxa" w:w="1417"/>
            <w:shd w:fill="D5F5E3"/>
          </w:tcPr>
          <w:p>
            <w:pPr>
              <w:jc w:val="center"/>
            </w:pPr>
            <w:r/>
            <w:r>
              <w:rPr>
                <w:b/>
                <w:sz w:val="16"/>
              </w:rPr>
              <w:t>Trombone</w:t>
            </w:r>
          </w:p>
        </w:tc>
        <w:tc>
          <w:tcPr>
            <w:tcW w:type="dxa" w:w="624"/>
            <w:shd w:fill="D5F5E3"/>
          </w:tcPr>
          <w:p>
            <w:pPr>
              <w:jc w:val="center"/>
            </w:pPr>
            <w:r/>
            <w:r>
              <w:rPr>
                <w:b w:val="0"/>
                <w:sz w:val="16"/>
              </w:rPr>
              <w:t>237</w:t>
            </w:r>
          </w:p>
        </w:tc>
        <w:tc>
          <w:tcPr>
            <w:tcW w:type="dxa" w:w="1417"/>
            <w:shd w:fill="D5F5E3"/>
          </w:tcPr>
          <w:p>
            <w:pPr>
              <w:jc w:val="center"/>
            </w:pPr>
            <w:r/>
            <w:r>
              <w:rPr>
                <w:b/>
                <w:sz w:val="16"/>
              </w:rPr>
              <w:t>Tuba basse</w:t>
            </w:r>
          </w:p>
        </w:tc>
        <w:tc>
          <w:tcPr>
            <w:tcW w:type="dxa" w:w="624"/>
            <w:shd w:fill="D5F5E3"/>
          </w:tcPr>
          <w:p>
            <w:pPr>
              <w:jc w:val="center"/>
            </w:pPr>
            <w:r/>
            <w:r>
              <w:rPr>
                <w:b w:val="0"/>
                <w:sz w:val="16"/>
              </w:rPr>
              <w:t>226</w:t>
            </w:r>
          </w:p>
        </w:tc>
        <w:tc>
          <w:tcPr>
            <w:tcW w:type="dxa" w:w="624"/>
            <w:shd w:fill="D5F5E3"/>
          </w:tcPr>
          <w:p>
            <w:pPr>
              <w:jc w:val="center"/>
            </w:pPr>
            <w:r/>
            <w:r>
              <w:rPr>
                <w:b w:val="0"/>
                <w:sz w:val="16"/>
              </w:rPr>
              <w:t>11</w:t>
            </w:r>
          </w:p>
        </w:tc>
        <w:tc>
          <w:tcPr>
            <w:tcW w:type="dxa" w:w="1247"/>
            <w:shd w:fill="D5F5E3"/>
          </w:tcPr>
          <w:p>
            <w:pPr>
              <w:jc w:val="center"/>
            </w:pPr>
            <w:r/>
            <w:r>
              <w:rPr>
                <w:b w:val="0"/>
                <w:sz w:val="16"/>
              </w:rPr>
              <w:t>Quasi-parfaite</w:t>
            </w:r>
          </w:p>
        </w:tc>
        <w:tc>
          <w:tcPr>
            <w:tcW w:type="dxa" w:w="510"/>
            <w:shd w:fill="D5F5E3"/>
          </w:tcPr>
          <w:p>
            <w:pPr>
              <w:jc w:val="center"/>
            </w:pPr>
            <w:r/>
            <w:r>
              <w:rPr>
                <w:b w:val="0"/>
                <w:sz w:val="16"/>
              </w:rPr>
              <w:t>/u/</w:t>
            </w:r>
          </w:p>
        </w:tc>
        <w:tc>
          <w:tcPr>
            <w:tcW w:type="dxa" w:w="1020"/>
            <w:shd w:fill="D5F5E3"/>
          </w:tcPr>
          <w:p>
            <w:pPr>
              <w:jc w:val="center"/>
            </w:pPr>
            <w:r/>
            <w:r>
              <w:rPr>
                <w:b w:val="0"/>
                <w:sz w:val="16"/>
              </w:rPr>
              <w:t>Octave</w:t>
            </w:r>
          </w:p>
        </w:tc>
      </w:tr>
      <w:tr>
        <w:tc>
          <w:tcPr>
            <w:tcW w:type="dxa" w:w="1417"/>
            <w:shd w:fill="D5F5E3"/>
          </w:tcPr>
          <w:p>
            <w:pPr>
              <w:jc w:val="center"/>
            </w:pPr>
            <w:r/>
            <w:r>
              <w:rPr>
                <w:b/>
                <w:sz w:val="16"/>
              </w:rPr>
              <w:t>Trombone</w:t>
            </w:r>
          </w:p>
        </w:tc>
        <w:tc>
          <w:tcPr>
            <w:tcW w:type="dxa" w:w="624"/>
            <w:shd w:fill="D5F5E3"/>
          </w:tcPr>
          <w:p>
            <w:pPr>
              <w:jc w:val="center"/>
            </w:pPr>
            <w:r/>
            <w:r>
              <w:rPr>
                <w:b w:val="0"/>
                <w:sz w:val="16"/>
              </w:rPr>
              <w:t>237</w:t>
            </w:r>
          </w:p>
        </w:tc>
        <w:tc>
          <w:tcPr>
            <w:tcW w:type="dxa" w:w="1417"/>
            <w:shd w:fill="D5F5E3"/>
          </w:tcPr>
          <w:p>
            <w:pPr>
              <w:jc w:val="center"/>
            </w:pPr>
            <w:r/>
            <w:r>
              <w:rPr>
                <w:b/>
                <w:sz w:val="16"/>
              </w:rPr>
              <w:t>Tuba CB</w:t>
            </w:r>
          </w:p>
        </w:tc>
        <w:tc>
          <w:tcPr>
            <w:tcW w:type="dxa" w:w="624"/>
            <w:shd w:fill="D5F5E3"/>
          </w:tcPr>
          <w:p>
            <w:pPr>
              <w:jc w:val="center"/>
            </w:pPr>
            <w:r/>
            <w:r>
              <w:rPr>
                <w:b w:val="0"/>
                <w:sz w:val="16"/>
              </w:rPr>
              <w:t>226</w:t>
            </w:r>
          </w:p>
        </w:tc>
        <w:tc>
          <w:tcPr>
            <w:tcW w:type="dxa" w:w="624"/>
            <w:shd w:fill="D5F5E3"/>
          </w:tcPr>
          <w:p>
            <w:pPr>
              <w:jc w:val="center"/>
            </w:pPr>
            <w:r/>
            <w:r>
              <w:rPr>
                <w:b w:val="0"/>
                <w:sz w:val="16"/>
              </w:rPr>
              <w:t>11</w:t>
            </w:r>
          </w:p>
        </w:tc>
        <w:tc>
          <w:tcPr>
            <w:tcW w:type="dxa" w:w="1247"/>
            <w:shd w:fill="D5F5E3"/>
          </w:tcPr>
          <w:p>
            <w:pPr>
              <w:jc w:val="center"/>
            </w:pPr>
            <w:r/>
            <w:r>
              <w:rPr>
                <w:b w:val="0"/>
                <w:sz w:val="16"/>
              </w:rPr>
              <w:t>Quasi-parfaite</w:t>
            </w:r>
          </w:p>
        </w:tc>
        <w:tc>
          <w:tcPr>
            <w:tcW w:type="dxa" w:w="510"/>
            <w:shd w:fill="D5F5E3"/>
          </w:tcPr>
          <w:p>
            <w:pPr>
              <w:jc w:val="center"/>
            </w:pPr>
            <w:r/>
            <w:r>
              <w:rPr>
                <w:b w:val="0"/>
                <w:sz w:val="16"/>
              </w:rPr>
              <w:t>/u/</w:t>
            </w:r>
          </w:p>
        </w:tc>
        <w:tc>
          <w:tcPr>
            <w:tcW w:type="dxa" w:w="1020"/>
            <w:shd w:fill="D5F5E3"/>
          </w:tcPr>
          <w:p>
            <w:pPr>
              <w:jc w:val="center"/>
            </w:pPr>
            <w:r/>
            <w:r>
              <w:rPr>
                <w:b w:val="0"/>
                <w:sz w:val="16"/>
              </w:rPr>
              <w:t>Octave</w:t>
            </w:r>
          </w:p>
        </w:tc>
      </w:tr>
      <w:tr>
        <w:tc>
          <w:tcPr>
            <w:tcW w:type="dxa" w:w="1417"/>
            <w:shd w:fill="D5F5E3"/>
          </w:tcPr>
          <w:p>
            <w:pPr>
              <w:jc w:val="center"/>
            </w:pPr>
            <w:r/>
            <w:r>
              <w:rPr>
                <w:b/>
                <w:sz w:val="16"/>
              </w:rPr>
              <w:t>Trombone</w:t>
            </w:r>
          </w:p>
        </w:tc>
        <w:tc>
          <w:tcPr>
            <w:tcW w:type="dxa" w:w="624"/>
            <w:shd w:fill="D5F5E3"/>
          </w:tcPr>
          <w:p>
            <w:pPr>
              <w:jc w:val="center"/>
            </w:pPr>
            <w:r/>
            <w:r>
              <w:rPr>
                <w:b w:val="0"/>
                <w:sz w:val="16"/>
              </w:rPr>
              <w:t>237</w:t>
            </w:r>
          </w:p>
        </w:tc>
        <w:tc>
          <w:tcPr>
            <w:tcW w:type="dxa" w:w="1417"/>
            <w:shd w:fill="D5F5E3"/>
          </w:tcPr>
          <w:p>
            <w:pPr>
              <w:jc w:val="center"/>
            </w:pPr>
            <w:r/>
            <w:r>
              <w:rPr>
                <w:b/>
                <w:sz w:val="16"/>
              </w:rPr>
              <w:t>Contrebasson</w:t>
            </w:r>
          </w:p>
        </w:tc>
        <w:tc>
          <w:tcPr>
            <w:tcW w:type="dxa" w:w="624"/>
            <w:shd w:fill="D5F5E3"/>
          </w:tcPr>
          <w:p>
            <w:pPr>
              <w:jc w:val="center"/>
            </w:pPr>
            <w:r/>
            <w:r>
              <w:rPr>
                <w:b w:val="0"/>
                <w:sz w:val="16"/>
              </w:rPr>
              <w:t>226</w:t>
            </w:r>
          </w:p>
        </w:tc>
        <w:tc>
          <w:tcPr>
            <w:tcW w:type="dxa" w:w="624"/>
            <w:shd w:fill="D5F5E3"/>
          </w:tcPr>
          <w:p>
            <w:pPr>
              <w:jc w:val="center"/>
            </w:pPr>
            <w:r/>
            <w:r>
              <w:rPr>
                <w:b w:val="0"/>
                <w:sz w:val="16"/>
              </w:rPr>
              <w:t>11</w:t>
            </w:r>
          </w:p>
        </w:tc>
        <w:tc>
          <w:tcPr>
            <w:tcW w:type="dxa" w:w="1247"/>
            <w:shd w:fill="D5F5E3"/>
          </w:tcPr>
          <w:p>
            <w:pPr>
              <w:jc w:val="center"/>
            </w:pPr>
            <w:r/>
            <w:r>
              <w:rPr>
                <w:b w:val="0"/>
                <w:sz w:val="16"/>
              </w:rPr>
              <w:t>Quasi-parfaite</w:t>
            </w:r>
          </w:p>
        </w:tc>
        <w:tc>
          <w:tcPr>
            <w:tcW w:type="dxa" w:w="510"/>
            <w:shd w:fill="D5F5E3"/>
          </w:tcPr>
          <w:p>
            <w:pPr>
              <w:jc w:val="center"/>
            </w:pPr>
            <w:r/>
            <w:r>
              <w:rPr>
                <w:b w:val="0"/>
                <w:sz w:val="16"/>
              </w:rPr>
              <w:t>/u/</w:t>
            </w:r>
          </w:p>
        </w:tc>
        <w:tc>
          <w:tcPr>
            <w:tcW w:type="dxa" w:w="1020"/>
            <w:shd w:fill="D5F5E3"/>
          </w:tcPr>
          <w:p>
            <w:pPr>
              <w:jc w:val="center"/>
            </w:pPr>
            <w:r/>
            <w:r>
              <w:rPr>
                <w:b w:val="0"/>
                <w:sz w:val="16"/>
              </w:rPr>
              <w:t>Unisson</w:t>
            </w:r>
          </w:p>
        </w:tc>
      </w:tr>
      <w:tr>
        <w:tc>
          <w:tcPr>
            <w:tcW w:type="dxa" w:w="1417"/>
            <w:shd w:fill="D5F5E3"/>
          </w:tcPr>
          <w:p>
            <w:pPr>
              <w:jc w:val="center"/>
            </w:pPr>
            <w:r/>
            <w:r>
              <w:rPr>
                <w:b/>
                <w:sz w:val="16"/>
              </w:rPr>
              <w:t>Trombone</w:t>
            </w:r>
          </w:p>
        </w:tc>
        <w:tc>
          <w:tcPr>
            <w:tcW w:type="dxa" w:w="624"/>
            <w:shd w:fill="D5F5E3"/>
          </w:tcPr>
          <w:p>
            <w:pPr>
              <w:jc w:val="center"/>
            </w:pPr>
            <w:r/>
            <w:r>
              <w:rPr>
                <w:b w:val="0"/>
                <w:sz w:val="16"/>
              </w:rPr>
              <w:t>237</w:t>
            </w:r>
          </w:p>
        </w:tc>
        <w:tc>
          <w:tcPr>
            <w:tcW w:type="dxa" w:w="1417"/>
            <w:shd w:fill="D5F5E3"/>
          </w:tcPr>
          <w:p>
            <w:pPr>
              <w:jc w:val="center"/>
            </w:pPr>
            <w:r/>
            <w:r>
              <w:rPr>
                <w:b/>
                <w:sz w:val="16"/>
              </w:rPr>
              <w:t>Trb. basse</w:t>
            </w:r>
          </w:p>
        </w:tc>
        <w:tc>
          <w:tcPr>
            <w:tcW w:type="dxa" w:w="624"/>
            <w:shd w:fill="D5F5E3"/>
          </w:tcPr>
          <w:p>
            <w:pPr>
              <w:jc w:val="center"/>
            </w:pPr>
            <w:r/>
            <w:r>
              <w:rPr>
                <w:b w:val="0"/>
                <w:sz w:val="16"/>
              </w:rPr>
              <w:t>258</w:t>
            </w:r>
          </w:p>
        </w:tc>
        <w:tc>
          <w:tcPr>
            <w:tcW w:type="dxa" w:w="624"/>
            <w:shd w:fill="D5F5E3"/>
          </w:tcPr>
          <w:p>
            <w:pPr>
              <w:jc w:val="center"/>
            </w:pPr>
            <w:r/>
            <w:r>
              <w:rPr>
                <w:b w:val="0"/>
                <w:sz w:val="16"/>
              </w:rPr>
              <w:t>21</w:t>
            </w:r>
          </w:p>
        </w:tc>
        <w:tc>
          <w:tcPr>
            <w:tcW w:type="dxa" w:w="1247"/>
            <w:shd w:fill="D5F5E3"/>
          </w:tcPr>
          <w:p>
            <w:pPr>
              <w:jc w:val="center"/>
            </w:pPr>
            <w:r/>
            <w:r>
              <w:rPr>
                <w:b w:val="0"/>
                <w:sz w:val="16"/>
              </w:rPr>
              <w:t>Quasi-parfaite</w:t>
            </w:r>
          </w:p>
        </w:tc>
        <w:tc>
          <w:tcPr>
            <w:tcW w:type="dxa" w:w="510"/>
            <w:shd w:fill="D5F5E3"/>
          </w:tcPr>
          <w:p>
            <w:pPr>
              <w:jc w:val="center"/>
            </w:pPr>
            <w:r/>
            <w:r>
              <w:rPr>
                <w:b w:val="0"/>
                <w:sz w:val="16"/>
              </w:rPr>
              <w:t>/u/</w:t>
            </w:r>
          </w:p>
        </w:tc>
        <w:tc>
          <w:tcPr>
            <w:tcW w:type="dxa" w:w="1020"/>
            <w:shd w:fill="D5F5E3"/>
          </w:tcPr>
          <w:p>
            <w:pPr>
              <w:jc w:val="center"/>
            </w:pPr>
            <w:r/>
            <w:r>
              <w:rPr>
                <w:b w:val="0"/>
                <w:sz w:val="16"/>
              </w:rPr>
              <w:t>Unisson</w:t>
            </w:r>
          </w:p>
        </w:tc>
      </w:tr>
      <w:tr>
        <w:tc>
          <w:tcPr>
            <w:tcW w:type="dxa" w:w="1417"/>
            <w:shd w:fill="EAFAF1"/>
          </w:tcPr>
          <w:p>
            <w:pPr>
              <w:jc w:val="center"/>
            </w:pPr>
            <w:r/>
            <w:r>
              <w:rPr>
                <w:b/>
                <w:sz w:val="16"/>
              </w:rPr>
              <w:t>Contrebasson</w:t>
            </w:r>
          </w:p>
        </w:tc>
        <w:tc>
          <w:tcPr>
            <w:tcW w:type="dxa" w:w="624"/>
            <w:shd w:fill="EAFAF1"/>
          </w:tcPr>
          <w:p>
            <w:pPr>
              <w:jc w:val="center"/>
            </w:pPr>
            <w:r/>
            <w:r>
              <w:rPr>
                <w:b w:val="0"/>
                <w:sz w:val="16"/>
              </w:rPr>
              <w:t>226</w:t>
            </w:r>
          </w:p>
        </w:tc>
        <w:tc>
          <w:tcPr>
            <w:tcW w:type="dxa" w:w="1417"/>
            <w:shd w:fill="EAFAF1"/>
          </w:tcPr>
          <w:p>
            <w:pPr>
              <w:jc w:val="center"/>
            </w:pPr>
            <w:r/>
            <w:r>
              <w:rPr>
                <w:b/>
                <w:sz w:val="16"/>
              </w:rPr>
              <w:t>Contrebasse</w:t>
            </w:r>
          </w:p>
        </w:tc>
        <w:tc>
          <w:tcPr>
            <w:tcW w:type="dxa" w:w="624"/>
            <w:shd w:fill="EAFAF1"/>
          </w:tcPr>
          <w:p>
            <w:pPr>
              <w:jc w:val="center"/>
            </w:pPr>
            <w:r/>
            <w:r>
              <w:rPr>
                <w:b w:val="0"/>
                <w:sz w:val="16"/>
              </w:rPr>
              <w:t>172</w:t>
            </w:r>
          </w:p>
        </w:tc>
        <w:tc>
          <w:tcPr>
            <w:tcW w:type="dxa" w:w="624"/>
            <w:shd w:fill="EAFAF1"/>
          </w:tcPr>
          <w:p>
            <w:pPr>
              <w:jc w:val="center"/>
            </w:pPr>
            <w:r/>
            <w:r>
              <w:rPr>
                <w:b w:val="0"/>
                <w:sz w:val="16"/>
              </w:rPr>
              <w:t>54</w:t>
            </w:r>
          </w:p>
        </w:tc>
        <w:tc>
          <w:tcPr>
            <w:tcW w:type="dxa" w:w="1247"/>
            <w:shd w:fill="EAFAF1"/>
          </w:tcPr>
          <w:p>
            <w:pPr>
              <w:jc w:val="center"/>
            </w:pPr>
            <w:r/>
            <w:r>
              <w:rPr>
                <w:b w:val="0"/>
                <w:sz w:val="16"/>
              </w:rPr>
              <w:t>Excellente</w:t>
            </w:r>
          </w:p>
        </w:tc>
        <w:tc>
          <w:tcPr>
            <w:tcW w:type="dxa" w:w="510"/>
            <w:shd w:fill="EAFAF1"/>
          </w:tcPr>
          <w:p>
            <w:pPr>
              <w:jc w:val="center"/>
            </w:pPr>
            <w:r/>
            <w:r>
              <w:rPr>
                <w:b w:val="0"/>
                <w:sz w:val="16"/>
              </w:rPr>
              <w:t>/u/</w:t>
            </w:r>
          </w:p>
        </w:tc>
        <w:tc>
          <w:tcPr>
            <w:tcW w:type="dxa" w:w="1020"/>
            <w:shd w:fill="EAFAF1"/>
          </w:tcPr>
          <w:p>
            <w:pPr>
              <w:jc w:val="center"/>
            </w:pPr>
            <w:r/>
            <w:r>
              <w:rPr>
                <w:b w:val="0"/>
                <w:sz w:val="16"/>
              </w:rPr>
              <w:t>Unisson</w:t>
            </w:r>
          </w:p>
        </w:tc>
      </w:tr>
      <w:tr>
        <w:tc>
          <w:tcPr>
            <w:tcW w:type="dxa" w:w="1417"/>
            <w:shd w:fill="EAFAF1"/>
          </w:tcPr>
          <w:p>
            <w:pPr>
              <w:jc w:val="center"/>
            </w:pPr>
            <w:r/>
            <w:r>
              <w:rPr>
                <w:b/>
                <w:sz w:val="16"/>
              </w:rPr>
              <w:t>Cor anglais</w:t>
            </w:r>
          </w:p>
        </w:tc>
        <w:tc>
          <w:tcPr>
            <w:tcW w:type="dxa" w:w="624"/>
            <w:shd w:fill="EAFAF1"/>
          </w:tcPr>
          <w:p>
            <w:pPr>
              <w:jc w:val="center"/>
            </w:pPr>
            <w:r/>
            <w:r>
              <w:rPr>
                <w:b w:val="0"/>
                <w:sz w:val="16"/>
              </w:rPr>
              <w:t>452</w:t>
            </w:r>
          </w:p>
        </w:tc>
        <w:tc>
          <w:tcPr>
            <w:tcW w:type="dxa" w:w="1417"/>
            <w:shd w:fill="EAFAF1"/>
          </w:tcPr>
          <w:p>
            <w:pPr>
              <w:jc w:val="center"/>
            </w:pPr>
            <w:r/>
            <w:r>
              <w:rPr>
                <w:b/>
                <w:sz w:val="16"/>
              </w:rPr>
              <w:t>Cor</w:t>
            </w:r>
          </w:p>
        </w:tc>
        <w:tc>
          <w:tcPr>
            <w:tcW w:type="dxa" w:w="624"/>
            <w:shd w:fill="EAFAF1"/>
          </w:tcPr>
          <w:p>
            <w:pPr>
              <w:jc w:val="center"/>
            </w:pPr>
            <w:r/>
            <w:r>
              <w:rPr>
                <w:b w:val="0"/>
                <w:sz w:val="16"/>
              </w:rPr>
              <w:t>388</w:t>
            </w:r>
          </w:p>
        </w:tc>
        <w:tc>
          <w:tcPr>
            <w:tcW w:type="dxa" w:w="624"/>
            <w:shd w:fill="EAFAF1"/>
          </w:tcPr>
          <w:p>
            <w:pPr>
              <w:jc w:val="center"/>
            </w:pPr>
            <w:r/>
            <w:r>
              <w:rPr>
                <w:b w:val="0"/>
                <w:sz w:val="16"/>
              </w:rPr>
              <w:t>64</w:t>
            </w:r>
          </w:p>
        </w:tc>
        <w:tc>
          <w:tcPr>
            <w:tcW w:type="dxa" w:w="1247"/>
            <w:shd w:fill="EAFAF1"/>
          </w:tcPr>
          <w:p>
            <w:pPr>
              <w:jc w:val="center"/>
            </w:pPr>
            <w:r/>
            <w:r>
              <w:rPr>
                <w:b w:val="0"/>
                <w:sz w:val="16"/>
              </w:rPr>
              <w:t>Excellente</w:t>
            </w:r>
          </w:p>
        </w:tc>
        <w:tc>
          <w:tcPr>
            <w:tcW w:type="dxa" w:w="510"/>
            <w:shd w:fill="EAFAF1"/>
          </w:tcPr>
          <w:p>
            <w:pPr>
              <w:jc w:val="center"/>
            </w:pPr>
            <w:r/>
            <w:r>
              <w:rPr>
                <w:b w:val="0"/>
                <w:sz w:val="16"/>
              </w:rPr>
              <w:t>/o/</w:t>
            </w:r>
          </w:p>
        </w:tc>
        <w:tc>
          <w:tcPr>
            <w:tcW w:type="dxa" w:w="1020"/>
            <w:shd w:fill="EAFAF1"/>
          </w:tcPr>
          <w:p>
            <w:pPr>
              <w:jc w:val="center"/>
            </w:pPr>
            <w:r/>
            <w:r>
              <w:rPr>
                <w:b w:val="0"/>
                <w:sz w:val="16"/>
              </w:rPr>
              <w:t>Unisson</w:t>
            </w:r>
          </w:p>
        </w:tc>
      </w:tr>
      <w:tr>
        <w:tc>
          <w:tcPr>
            <w:tcW w:type="dxa" w:w="1417"/>
          </w:tcPr>
          <w:p>
            <w:pPr>
              <w:jc w:val="center"/>
            </w:pPr>
            <w:r/>
            <w:r>
              <w:rPr>
                <w:b/>
                <w:sz w:val="16"/>
              </w:rPr>
              <w:t>Flûte Fp</w:t>
            </w:r>
          </w:p>
        </w:tc>
        <w:tc>
          <w:tcPr>
            <w:tcW w:type="dxa" w:w="624"/>
          </w:tcPr>
          <w:p>
            <w:pPr>
              <w:jc w:val="center"/>
            </w:pPr>
            <w:r/>
            <w:r>
              <w:rPr>
                <w:b w:val="0"/>
                <w:sz w:val="16"/>
              </w:rPr>
              <w:t>1535</w:t>
            </w:r>
          </w:p>
        </w:tc>
        <w:tc>
          <w:tcPr>
            <w:tcW w:type="dxa" w:w="1417"/>
          </w:tcPr>
          <w:p>
            <w:pPr>
              <w:jc w:val="center"/>
            </w:pPr>
            <w:r/>
            <w:r>
              <w:rPr>
                <w:b/>
                <w:sz w:val="16"/>
              </w:rPr>
              <w:t>Cl. Sib Fp</w:t>
            </w:r>
          </w:p>
        </w:tc>
        <w:tc>
          <w:tcPr>
            <w:tcW w:type="dxa" w:w="624"/>
          </w:tcPr>
          <w:p>
            <w:pPr>
              <w:jc w:val="center"/>
            </w:pPr>
            <w:r/>
            <w:r>
              <w:rPr>
                <w:b w:val="0"/>
                <w:sz w:val="16"/>
              </w:rPr>
              <w:t>1412</w:t>
            </w:r>
          </w:p>
        </w:tc>
        <w:tc>
          <w:tcPr>
            <w:tcW w:type="dxa" w:w="624"/>
          </w:tcPr>
          <w:p>
            <w:pPr>
              <w:jc w:val="center"/>
            </w:pPr>
            <w:r/>
            <w:r>
              <w:rPr>
                <w:b w:val="0"/>
                <w:sz w:val="16"/>
              </w:rPr>
              <w:t>123</w:t>
            </w:r>
          </w:p>
        </w:tc>
        <w:tc>
          <w:tcPr>
            <w:tcW w:type="dxa" w:w="1247"/>
          </w:tcPr>
          <w:p>
            <w:pPr>
              <w:jc w:val="center"/>
            </w:pPr>
            <w:r/>
            <w:r>
              <w:rPr>
                <w:b w:val="0"/>
                <w:sz w:val="16"/>
              </w:rPr>
              <w:t>Bonne</w:t>
            </w:r>
          </w:p>
        </w:tc>
        <w:tc>
          <w:tcPr>
            <w:tcW w:type="dxa" w:w="510"/>
          </w:tcPr>
          <w:p>
            <w:pPr>
              <w:jc w:val="center"/>
            </w:pPr>
            <w:r/>
            <w:r>
              <w:rPr>
                <w:b w:val="0"/>
                <w:sz w:val="16"/>
              </w:rPr>
              <w:t>/e/</w:t>
            </w:r>
          </w:p>
        </w:tc>
        <w:tc>
          <w:tcPr>
            <w:tcW w:type="dxa" w:w="1020"/>
          </w:tcPr>
          <w:p>
            <w:pPr>
              <w:jc w:val="center"/>
            </w:pPr>
            <w:r/>
            <w:r>
              <w:rPr>
                <w:b w:val="0"/>
                <w:sz w:val="16"/>
              </w:rPr>
              <w:t>Unisson</w:t>
            </w:r>
          </w:p>
        </w:tc>
      </w:tr>
      <w:tr>
        <w:tc>
          <w:tcPr>
            <w:tcW w:type="dxa" w:w="1417"/>
          </w:tcPr>
          <w:p>
            <w:pPr>
              <w:jc w:val="center"/>
            </w:pPr>
            <w:r/>
            <w:r>
              <w:rPr>
                <w:b/>
                <w:sz w:val="16"/>
              </w:rPr>
              <w:t>Trb. basse Fp</w:t>
            </w:r>
          </w:p>
        </w:tc>
        <w:tc>
          <w:tcPr>
            <w:tcW w:type="dxa" w:w="624"/>
          </w:tcPr>
          <w:p>
            <w:pPr>
              <w:jc w:val="center"/>
            </w:pPr>
            <w:r/>
            <w:r>
              <w:rPr>
                <w:b w:val="0"/>
                <w:sz w:val="16"/>
              </w:rPr>
              <w:t>1335</w:t>
            </w:r>
          </w:p>
        </w:tc>
        <w:tc>
          <w:tcPr>
            <w:tcW w:type="dxa" w:w="1417"/>
          </w:tcPr>
          <w:p>
            <w:pPr>
              <w:jc w:val="center"/>
            </w:pPr>
            <w:r/>
            <w:r>
              <w:rPr>
                <w:b/>
                <w:sz w:val="16"/>
              </w:rPr>
              <w:t>Cl. basse Fp</w:t>
            </w:r>
          </w:p>
        </w:tc>
        <w:tc>
          <w:tcPr>
            <w:tcW w:type="dxa" w:w="624"/>
          </w:tcPr>
          <w:p>
            <w:pPr>
              <w:jc w:val="center"/>
            </w:pPr>
            <w:r/>
            <w:r>
              <w:rPr>
                <w:b w:val="0"/>
                <w:sz w:val="16"/>
              </w:rPr>
              <w:t>1204</w:t>
            </w:r>
          </w:p>
        </w:tc>
        <w:tc>
          <w:tcPr>
            <w:tcW w:type="dxa" w:w="624"/>
          </w:tcPr>
          <w:p>
            <w:pPr>
              <w:jc w:val="center"/>
            </w:pPr>
            <w:r/>
            <w:r>
              <w:rPr>
                <w:b w:val="0"/>
                <w:sz w:val="16"/>
              </w:rPr>
              <w:t>131</w:t>
            </w:r>
          </w:p>
        </w:tc>
        <w:tc>
          <w:tcPr>
            <w:tcW w:type="dxa" w:w="1247"/>
          </w:tcPr>
          <w:p>
            <w:pPr>
              <w:jc w:val="center"/>
            </w:pPr>
            <w:r/>
            <w:r>
              <w:rPr>
                <w:b w:val="0"/>
                <w:sz w:val="16"/>
              </w:rPr>
              <w:t>Bonne</w:t>
            </w:r>
          </w:p>
        </w:tc>
        <w:tc>
          <w:tcPr>
            <w:tcW w:type="dxa" w:w="510"/>
          </w:tcPr>
          <w:p>
            <w:pPr>
              <w:jc w:val="center"/>
            </w:pPr>
            <w:r/>
            <w:r>
              <w:rPr>
                <w:b w:val="0"/>
                <w:sz w:val="16"/>
              </w:rPr>
              <w:t>/a/</w:t>
            </w:r>
          </w:p>
        </w:tc>
        <w:tc>
          <w:tcPr>
            <w:tcW w:type="dxa" w:w="1020"/>
          </w:tcPr>
          <w:p>
            <w:pPr>
              <w:jc w:val="center"/>
            </w:pPr>
            <w:r/>
            <w:r>
              <w:rPr>
                <w:b w:val="0"/>
                <w:sz w:val="16"/>
              </w:rPr>
              <w:t>Unisson</w:t>
            </w:r>
          </w:p>
        </w:tc>
      </w:tr>
      <w:tr>
        <w:tc>
          <w:tcPr>
            <w:tcW w:type="dxa" w:w="1417"/>
          </w:tcPr>
          <w:p>
            <w:pPr>
              <w:jc w:val="center"/>
            </w:pPr>
            <w:r/>
            <w:r>
              <w:rPr>
                <w:b/>
                <w:sz w:val="16"/>
              </w:rPr>
              <w:t>Hautbois</w:t>
            </w:r>
          </w:p>
        </w:tc>
        <w:tc>
          <w:tcPr>
            <w:tcW w:type="dxa" w:w="624"/>
          </w:tcPr>
          <w:p>
            <w:pPr>
              <w:jc w:val="center"/>
            </w:pPr>
            <w:r/>
            <w:r>
              <w:rPr>
                <w:b w:val="0"/>
                <w:sz w:val="16"/>
              </w:rPr>
              <w:t>743</w:t>
            </w:r>
          </w:p>
        </w:tc>
        <w:tc>
          <w:tcPr>
            <w:tcW w:type="dxa" w:w="1417"/>
          </w:tcPr>
          <w:p>
            <w:pPr>
              <w:jc w:val="center"/>
            </w:pPr>
            <w:r/>
            <w:r>
              <w:rPr>
                <w:b/>
                <w:sz w:val="16"/>
              </w:rPr>
              <w:t>Basson</w:t>
            </w:r>
          </w:p>
        </w:tc>
        <w:tc>
          <w:tcPr>
            <w:tcW w:type="dxa" w:w="624"/>
          </w:tcPr>
          <w:p>
            <w:pPr>
              <w:jc w:val="center"/>
            </w:pPr>
            <w:r/>
            <w:r>
              <w:rPr>
                <w:b w:val="0"/>
                <w:sz w:val="16"/>
              </w:rPr>
              <w:t>495</w:t>
            </w:r>
          </w:p>
        </w:tc>
        <w:tc>
          <w:tcPr>
            <w:tcW w:type="dxa" w:w="624"/>
          </w:tcPr>
          <w:p>
            <w:pPr>
              <w:jc w:val="center"/>
            </w:pPr>
            <w:r/>
            <w:r>
              <w:rPr>
                <w:b w:val="0"/>
                <w:sz w:val="16"/>
              </w:rPr>
              <w:t>248</w:t>
            </w:r>
          </w:p>
        </w:tc>
        <w:tc>
          <w:tcPr>
            <w:tcW w:type="dxa" w:w="1247"/>
          </w:tcPr>
          <w:p>
            <w:pPr>
              <w:jc w:val="center"/>
            </w:pPr>
            <w:r/>
            <w:r>
              <w:rPr>
                <w:b w:val="0"/>
                <w:sz w:val="16"/>
              </w:rPr>
              <w:t>Complémentaire</w:t>
            </w:r>
          </w:p>
        </w:tc>
        <w:tc>
          <w:tcPr>
            <w:tcW w:type="dxa" w:w="510"/>
          </w:tcPr>
          <w:p>
            <w:pPr>
              <w:jc w:val="center"/>
            </w:pPr>
            <w:r/>
            <w:r>
              <w:rPr>
                <w:b w:val="0"/>
                <w:sz w:val="16"/>
              </w:rPr>
              <w:t>/å/+/o/</w:t>
            </w:r>
          </w:p>
        </w:tc>
        <w:tc>
          <w:tcPr>
            <w:tcW w:type="dxa" w:w="1020"/>
          </w:tcPr>
          <w:p>
            <w:pPr>
              <w:jc w:val="center"/>
            </w:pPr>
            <w:r/>
            <w:r>
              <w:rPr>
                <w:b w:val="0"/>
                <w:sz w:val="16"/>
              </w:rPr>
              <w:t>Unisson</w:t>
            </w:r>
          </w:p>
        </w:tc>
      </w:tr>
      <w:tr>
        <w:tc>
          <w:tcPr>
            <w:tcW w:type="dxa" w:w="1417"/>
          </w:tcPr>
          <w:p>
            <w:pPr>
              <w:jc w:val="center"/>
            </w:pPr>
            <w:r/>
            <w:r>
              <w:rPr>
                <w:b/>
                <w:sz w:val="16"/>
              </w:rPr>
              <w:t>Cl. Sib Fp</w:t>
            </w:r>
          </w:p>
        </w:tc>
        <w:tc>
          <w:tcPr>
            <w:tcW w:type="dxa" w:w="624"/>
          </w:tcPr>
          <w:p>
            <w:pPr>
              <w:jc w:val="center"/>
            </w:pPr>
            <w:r/>
            <w:r>
              <w:rPr>
                <w:b w:val="0"/>
                <w:sz w:val="16"/>
              </w:rPr>
              <w:t>1412</w:t>
            </w:r>
          </w:p>
        </w:tc>
        <w:tc>
          <w:tcPr>
            <w:tcW w:type="dxa" w:w="1417"/>
          </w:tcPr>
          <w:p>
            <w:pPr>
              <w:jc w:val="center"/>
            </w:pPr>
            <w:r/>
            <w:r>
              <w:rPr>
                <w:b/>
                <w:sz w:val="16"/>
              </w:rPr>
              <w:t>Cor anglais Fp</w:t>
            </w:r>
          </w:p>
        </w:tc>
        <w:tc>
          <w:tcPr>
            <w:tcW w:type="dxa" w:w="624"/>
          </w:tcPr>
          <w:p>
            <w:pPr>
              <w:jc w:val="center"/>
            </w:pPr>
            <w:r/>
            <w:r>
              <w:rPr>
                <w:b w:val="0"/>
                <w:sz w:val="16"/>
              </w:rPr>
              <w:t>1135</w:t>
            </w:r>
          </w:p>
        </w:tc>
        <w:tc>
          <w:tcPr>
            <w:tcW w:type="dxa" w:w="624"/>
          </w:tcPr>
          <w:p>
            <w:pPr>
              <w:jc w:val="center"/>
            </w:pPr>
            <w:r/>
            <w:r>
              <w:rPr>
                <w:b w:val="0"/>
                <w:sz w:val="16"/>
              </w:rPr>
              <w:t>277</w:t>
            </w:r>
          </w:p>
        </w:tc>
        <w:tc>
          <w:tcPr>
            <w:tcW w:type="dxa" w:w="1247"/>
          </w:tcPr>
          <w:p>
            <w:pPr>
              <w:jc w:val="center"/>
            </w:pPr>
            <w:r/>
            <w:r>
              <w:rPr>
                <w:b w:val="0"/>
                <w:sz w:val="16"/>
              </w:rPr>
              <w:t>Complémentaire</w:t>
            </w:r>
          </w:p>
        </w:tc>
        <w:tc>
          <w:tcPr>
            <w:tcW w:type="dxa" w:w="510"/>
          </w:tcPr>
          <w:p>
            <w:pPr>
              <w:jc w:val="center"/>
            </w:pPr>
            <w:r/>
            <w:r>
              <w:rPr>
                <w:b w:val="0"/>
                <w:sz w:val="16"/>
              </w:rPr>
              <w:t>/a/</w:t>
            </w:r>
          </w:p>
        </w:tc>
        <w:tc>
          <w:tcPr>
            <w:tcW w:type="dxa" w:w="1020"/>
          </w:tcPr>
          <w:p>
            <w:pPr>
              <w:jc w:val="center"/>
            </w:pPr>
            <w:r/>
            <w:r>
              <w:rPr>
                <w:b w:val="0"/>
                <w:sz w:val="16"/>
              </w:rPr>
              <w:t>Unisson</w:t>
            </w:r>
          </w:p>
        </w:tc>
      </w:tr>
      <w:tr>
        <w:tc>
          <w:tcPr>
            <w:tcW w:type="dxa" w:w="1417"/>
          </w:tcPr>
          <w:p>
            <w:pPr>
              <w:jc w:val="center"/>
            </w:pPr>
            <w:r/>
            <w:r>
              <w:rPr>
                <w:b/>
                <w:sz w:val="16"/>
              </w:rPr>
              <w:t>Flûte</w:t>
            </w:r>
          </w:p>
        </w:tc>
        <w:tc>
          <w:tcPr>
            <w:tcW w:type="dxa" w:w="624"/>
          </w:tcPr>
          <w:p>
            <w:pPr>
              <w:jc w:val="center"/>
            </w:pPr>
            <w:r/>
            <w:r>
              <w:rPr>
                <w:b w:val="0"/>
                <w:sz w:val="16"/>
              </w:rPr>
              <w:t>743</w:t>
            </w:r>
          </w:p>
        </w:tc>
        <w:tc>
          <w:tcPr>
            <w:tcW w:type="dxa" w:w="1417"/>
          </w:tcPr>
          <w:p>
            <w:pPr>
              <w:jc w:val="center"/>
            </w:pPr>
            <w:r/>
            <w:r>
              <w:rPr>
                <w:b/>
                <w:sz w:val="16"/>
              </w:rPr>
              <w:t>Cl. Sib</w:t>
            </w:r>
          </w:p>
        </w:tc>
        <w:tc>
          <w:tcPr>
            <w:tcW w:type="dxa" w:w="624"/>
          </w:tcPr>
          <w:p>
            <w:pPr>
              <w:jc w:val="center"/>
            </w:pPr>
            <w:r/>
            <w:r>
              <w:rPr>
                <w:b w:val="0"/>
                <w:sz w:val="16"/>
              </w:rPr>
              <w:t>463</w:t>
            </w:r>
          </w:p>
        </w:tc>
        <w:tc>
          <w:tcPr>
            <w:tcW w:type="dxa" w:w="624"/>
          </w:tcPr>
          <w:p>
            <w:pPr>
              <w:jc w:val="center"/>
            </w:pPr>
            <w:r/>
            <w:r>
              <w:rPr>
                <w:b w:val="0"/>
                <w:sz w:val="16"/>
              </w:rPr>
              <w:t>280</w:t>
            </w:r>
          </w:p>
        </w:tc>
        <w:tc>
          <w:tcPr>
            <w:tcW w:type="dxa" w:w="1247"/>
          </w:tcPr>
          <w:p>
            <w:pPr>
              <w:jc w:val="center"/>
            </w:pPr>
            <w:r/>
            <w:r>
              <w:rPr>
                <w:b w:val="0"/>
                <w:sz w:val="16"/>
              </w:rPr>
              <w:t>Complémentaire</w:t>
            </w:r>
          </w:p>
        </w:tc>
        <w:tc>
          <w:tcPr>
            <w:tcW w:type="dxa" w:w="510"/>
          </w:tcPr>
          <w:p>
            <w:pPr>
              <w:jc w:val="center"/>
            </w:pPr>
            <w:r/>
            <w:r>
              <w:rPr>
                <w:b w:val="0"/>
                <w:sz w:val="16"/>
              </w:rPr>
              <w:t>/å/+/o/</w:t>
            </w:r>
          </w:p>
        </w:tc>
        <w:tc>
          <w:tcPr>
            <w:tcW w:type="dxa" w:w="1020"/>
          </w:tcPr>
          <w:p>
            <w:pPr>
              <w:jc w:val="center"/>
            </w:pPr>
            <w:r/>
            <w:r>
              <w:rPr>
                <w:b w:val="0"/>
                <w:sz w:val="16"/>
              </w:rPr>
              <w:t>Unisson</w:t>
            </w:r>
          </w:p>
        </w:tc>
      </w:tr>
      <w:tr>
        <w:tc>
          <w:tcPr>
            <w:tcW w:type="dxa" w:w="1417"/>
          </w:tcPr>
          <w:p>
            <w:pPr>
              <w:jc w:val="center"/>
            </w:pPr>
            <w:r/>
            <w:r>
              <w:rPr>
                <w:b/>
                <w:sz w:val="16"/>
              </w:rPr>
              <w:t>Violon</w:t>
            </w:r>
          </w:p>
        </w:tc>
        <w:tc>
          <w:tcPr>
            <w:tcW w:type="dxa" w:w="624"/>
          </w:tcPr>
          <w:p>
            <w:pPr>
              <w:jc w:val="center"/>
            </w:pPr>
            <w:r/>
            <w:r>
              <w:rPr>
                <w:b w:val="0"/>
                <w:sz w:val="16"/>
              </w:rPr>
              <w:t>506</w:t>
            </w:r>
          </w:p>
        </w:tc>
        <w:tc>
          <w:tcPr>
            <w:tcW w:type="dxa" w:w="1417"/>
          </w:tcPr>
          <w:p>
            <w:pPr>
              <w:jc w:val="center"/>
            </w:pPr>
            <w:r/>
            <w:r>
              <w:rPr>
                <w:b/>
                <w:sz w:val="16"/>
              </w:rPr>
              <w:t>Violoncelle</w:t>
            </w:r>
          </w:p>
        </w:tc>
        <w:tc>
          <w:tcPr>
            <w:tcW w:type="dxa" w:w="624"/>
          </w:tcPr>
          <w:p>
            <w:pPr>
              <w:jc w:val="center"/>
            </w:pPr>
            <w:r/>
            <w:r>
              <w:rPr>
                <w:b w:val="0"/>
                <w:sz w:val="16"/>
              </w:rPr>
              <w:t>205</w:t>
            </w:r>
          </w:p>
        </w:tc>
        <w:tc>
          <w:tcPr>
            <w:tcW w:type="dxa" w:w="624"/>
          </w:tcPr>
          <w:p>
            <w:pPr>
              <w:jc w:val="center"/>
            </w:pPr>
            <w:r/>
            <w:r>
              <w:rPr>
                <w:b w:val="0"/>
                <w:sz w:val="16"/>
              </w:rPr>
              <w:t>301</w:t>
            </w:r>
          </w:p>
        </w:tc>
        <w:tc>
          <w:tcPr>
            <w:tcW w:type="dxa" w:w="1247"/>
          </w:tcPr>
          <w:p>
            <w:pPr>
              <w:jc w:val="center"/>
            </w:pPr>
            <w:r/>
            <w:r>
              <w:rPr>
                <w:b w:val="0"/>
                <w:sz w:val="16"/>
              </w:rPr>
              <w:t>Complémentaire</w:t>
            </w:r>
          </w:p>
        </w:tc>
        <w:tc>
          <w:tcPr>
            <w:tcW w:type="dxa" w:w="510"/>
          </w:tcPr>
          <w:p>
            <w:pPr>
              <w:jc w:val="center"/>
            </w:pPr>
            <w:r/>
            <w:r>
              <w:rPr>
                <w:b w:val="0"/>
                <w:sz w:val="16"/>
              </w:rPr>
              <w:t>/o/+/u/</w:t>
            </w:r>
          </w:p>
        </w:tc>
        <w:tc>
          <w:tcPr>
            <w:tcW w:type="dxa" w:w="1020"/>
          </w:tcPr>
          <w:p>
            <w:pPr>
              <w:jc w:val="center"/>
            </w:pPr>
            <w:r/>
            <w:r>
              <w:rPr>
                <w:b w:val="0"/>
                <w:sz w:val="16"/>
              </w:rPr>
              <w:t>Octave</w:t>
            </w:r>
          </w:p>
        </w:tc>
      </w:tr>
      <w:tr>
        <w:tc>
          <w:tcPr>
            <w:tcW w:type="dxa" w:w="1417"/>
          </w:tcPr>
          <w:p>
            <w:pPr>
              <w:jc w:val="center"/>
            </w:pPr>
            <w:r/>
            <w:r>
              <w:rPr>
                <w:b/>
                <w:sz w:val="16"/>
              </w:rPr>
              <w:t>Cor Fp</w:t>
            </w:r>
          </w:p>
        </w:tc>
        <w:tc>
          <w:tcPr>
            <w:tcW w:type="dxa" w:w="624"/>
          </w:tcPr>
          <w:p>
            <w:pPr>
              <w:jc w:val="center"/>
            </w:pPr>
            <w:r/>
            <w:r>
              <w:rPr>
                <w:b w:val="0"/>
                <w:sz w:val="16"/>
              </w:rPr>
              <w:t>738</w:t>
            </w:r>
          </w:p>
        </w:tc>
        <w:tc>
          <w:tcPr>
            <w:tcW w:type="dxa" w:w="1417"/>
          </w:tcPr>
          <w:p>
            <w:pPr>
              <w:jc w:val="center"/>
            </w:pPr>
            <w:r/>
            <w:r>
              <w:rPr>
                <w:b/>
                <w:sz w:val="16"/>
              </w:rPr>
              <w:t>Trompette Fp</w:t>
            </w:r>
          </w:p>
        </w:tc>
        <w:tc>
          <w:tcPr>
            <w:tcW w:type="dxa" w:w="624"/>
          </w:tcPr>
          <w:p>
            <w:pPr>
              <w:jc w:val="center"/>
            </w:pPr>
            <w:r/>
            <w:r>
              <w:rPr>
                <w:b w:val="0"/>
                <w:sz w:val="16"/>
              </w:rPr>
              <w:t>1046</w:t>
            </w:r>
          </w:p>
        </w:tc>
        <w:tc>
          <w:tcPr>
            <w:tcW w:type="dxa" w:w="624"/>
          </w:tcPr>
          <w:p>
            <w:pPr>
              <w:jc w:val="center"/>
            </w:pPr>
            <w:r/>
            <w:r>
              <w:rPr>
                <w:b w:val="0"/>
                <w:sz w:val="16"/>
              </w:rPr>
              <w:t>308</w:t>
            </w:r>
          </w:p>
        </w:tc>
        <w:tc>
          <w:tcPr>
            <w:tcW w:type="dxa" w:w="1247"/>
          </w:tcPr>
          <w:p>
            <w:pPr>
              <w:jc w:val="center"/>
            </w:pPr>
            <w:r/>
            <w:r>
              <w:rPr>
                <w:b w:val="0"/>
                <w:sz w:val="16"/>
              </w:rPr>
              <w:t>Complémentaire</w:t>
            </w:r>
          </w:p>
        </w:tc>
        <w:tc>
          <w:tcPr>
            <w:tcW w:type="dxa" w:w="510"/>
          </w:tcPr>
          <w:p>
            <w:pPr>
              <w:jc w:val="center"/>
            </w:pPr>
            <w:r/>
            <w:r>
              <w:rPr>
                <w:b w:val="0"/>
                <w:sz w:val="16"/>
              </w:rPr>
              <w:t>/a/</w:t>
            </w:r>
          </w:p>
        </w:tc>
        <w:tc>
          <w:tcPr>
            <w:tcW w:type="dxa" w:w="1020"/>
          </w:tcPr>
          <w:p>
            <w:pPr>
              <w:jc w:val="center"/>
            </w:pPr>
            <w:r/>
            <w:r>
              <w:rPr>
                <w:b w:val="0"/>
                <w:sz w:val="16"/>
              </w:rPr>
              <w:t>Unisson</w:t>
            </w:r>
          </w:p>
        </w:tc>
      </w:tr>
      <w:tr>
        <w:tc>
          <w:tcPr>
            <w:tcW w:type="dxa" w:w="1417"/>
          </w:tcPr>
          <w:p>
            <w:pPr>
              <w:jc w:val="center"/>
            </w:pPr>
            <w:r/>
            <w:r>
              <w:rPr>
                <w:b/>
                <w:sz w:val="16"/>
              </w:rPr>
              <w:t>Trompette</w:t>
            </w:r>
          </w:p>
        </w:tc>
        <w:tc>
          <w:tcPr>
            <w:tcW w:type="dxa" w:w="624"/>
          </w:tcPr>
          <w:p>
            <w:pPr>
              <w:jc w:val="center"/>
            </w:pPr>
            <w:r/>
            <w:r>
              <w:rPr>
                <w:b w:val="0"/>
                <w:sz w:val="16"/>
              </w:rPr>
              <w:t>786</w:t>
            </w:r>
          </w:p>
        </w:tc>
        <w:tc>
          <w:tcPr>
            <w:tcW w:type="dxa" w:w="1417"/>
          </w:tcPr>
          <w:p>
            <w:pPr>
              <w:jc w:val="center"/>
            </w:pPr>
            <w:r/>
            <w:r>
              <w:rPr>
                <w:b/>
                <w:sz w:val="16"/>
              </w:rPr>
              <w:t>Trombone</w:t>
            </w:r>
          </w:p>
        </w:tc>
        <w:tc>
          <w:tcPr>
            <w:tcW w:type="dxa" w:w="624"/>
          </w:tcPr>
          <w:p>
            <w:pPr>
              <w:jc w:val="center"/>
            </w:pPr>
            <w:r/>
            <w:r>
              <w:rPr>
                <w:b w:val="0"/>
                <w:sz w:val="16"/>
              </w:rPr>
              <w:t>237</w:t>
            </w:r>
          </w:p>
        </w:tc>
        <w:tc>
          <w:tcPr>
            <w:tcW w:type="dxa" w:w="624"/>
          </w:tcPr>
          <w:p>
            <w:pPr>
              <w:jc w:val="center"/>
            </w:pPr>
            <w:r/>
            <w:r>
              <w:rPr>
                <w:b w:val="0"/>
                <w:sz w:val="16"/>
              </w:rPr>
              <w:t>549</w:t>
            </w:r>
          </w:p>
        </w:tc>
        <w:tc>
          <w:tcPr>
            <w:tcW w:type="dxa" w:w="1247"/>
          </w:tcPr>
          <w:p>
            <w:pPr>
              <w:jc w:val="center"/>
            </w:pPr>
            <w:r/>
            <w:r>
              <w:rPr>
                <w:b w:val="0"/>
                <w:sz w:val="16"/>
              </w:rPr>
              <w:t>Complémentaire</w:t>
            </w:r>
          </w:p>
        </w:tc>
        <w:tc>
          <w:tcPr>
            <w:tcW w:type="dxa" w:w="510"/>
          </w:tcPr>
          <w:p>
            <w:pPr>
              <w:jc w:val="center"/>
            </w:pPr>
            <w:r/>
            <w:r>
              <w:rPr>
                <w:b w:val="0"/>
                <w:sz w:val="16"/>
              </w:rPr>
              <w:t>/å/+/u/</w:t>
            </w:r>
          </w:p>
        </w:tc>
        <w:tc>
          <w:tcPr>
            <w:tcW w:type="dxa" w:w="1020"/>
          </w:tcPr>
          <w:p>
            <w:pPr>
              <w:jc w:val="center"/>
            </w:pPr>
            <w:r/>
            <w:r>
              <w:rPr>
                <w:b w:val="0"/>
                <w:sz w:val="16"/>
              </w:rPr>
              <w:t>Octave</w:t>
            </w:r>
          </w:p>
        </w:tc>
      </w:tr>
    </w:tbl>
    <w:p/>
    <w:p>
      <w:pPr>
        <w:pStyle w:val="Heading2"/>
      </w:pPr>
      <w:r>
        <w:rPr>
          <w:color w:val="1A237E"/>
        </w:rPr>
        <w:t>9 Principes d'Orchestration Acoustique</w:t>
      </w:r>
    </w:p>
    <w:p>
      <w:pPr>
        <w:pStyle w:val="Heading3"/>
      </w:pPr>
      <w:r>
        <w:rPr>
          <w:color w:val="4A148C"/>
        </w:rPr>
        <w:t>1. Convergence formantique (fusion)</w:t>
      </w:r>
    </w:p>
    <w:p>
      <w:r>
        <w:rPr>
          <w:b w:val="0"/>
          <w:i w:val="0"/>
          <w:sz w:val="20"/>
        </w:rPr>
        <w:t>Quand deux instruments partagent un F1 similaire (Δ ≤ 80 Hz), leurs timbres fusionnent : l'oreille perçoit une couleur homogène plutôt que deux voix distinctes. Ce phénomène est la base acoustique des doublures classiques les plus efficaces. Seuils mesurés dans le corpus : Δ = 0 Hz (0 Bark) — unisson formantique : Flûte (743) + Hautbois (743) ; Tuba contrebasse + Contrebasson + Tuba basse (tous à 226 Hz) — trois familles, une seule couleur. Δ ≤ 30 Hz (≤ 0,3 Bark) — fusion quasi-parfaite : Basson (495) + Violoncelle (205) Δ=11 Hz ; Cor (388) + Alto (377) Δ=11 Hz ; Trombone (237) + Tuba basse (226) Δ=11 Hz ; Trombone (237) + Trombone basse (258) Δ=21 Hz. Δ 30–80 Hz (0,3–0,7 Bark) — fusion efficace : Cor anglais (452) + Clarinette Sib (463) Δ=11 Hz. Δ ≥ 200 Hz (≥ 1,5 Bark) — complémentarité spectrale : les spectres coexistent sans masquage. Conséquence pratique : la fusion ne dépend pas de l'unisson mélodique — Basson et Violoncelle fusionnent à n'importe quel intervalle harmonique. C'est pourquoi ces doublures fonctionnent sur plusieurs octaves. La convergence formantique est une propriété du timbre, pas de la hauteur.</w:t>
      </w:r>
    </w:p>
    <w:p>
      <w:pPr>
        <w:pStyle w:val="Heading3"/>
      </w:pPr>
      <w:r>
        <w:rPr>
          <w:color w:val="4A148C"/>
        </w:rPr>
        <w:t>2. Complémentarité spectrale (enrichissement)</w:t>
      </w:r>
    </w:p>
    <w:p>
      <w:r>
        <w:rPr>
          <w:b w:val="0"/>
          <w:i w:val="0"/>
          <w:sz w:val="20"/>
        </w:rPr>
        <w:t>Quand deux instruments occupent des zones vocaliques distinctes (Δ F1 &gt; 200 Hz), leurs spectres se complètent sans se couvrir : l'ensemble couvre une large bande formantique inaccessible à chaque instrument seul. Exemples mesurés : Trompette (786 Hz, /a/) + Trombone (237 Hz, /u/) : Δ=549 Hz — la plus grande complémentarité de la section cuivres. Le trombone apporte la fondation grave, la trompette la brillance et la projection. Flûte (743 Hz, /å/) + Clarinette Sib (463 Hz, /o/) : Δ=280 Hz — doublure bois classique, spectre du médium au médium-aigu. Violon solo (506 Hz, /o/) + Violoncelle (205 Hz, /u/) : Δ=301 Hz — la section à cordes couvre /u/→/o/ en deux voix complémentaires. Hautbois (743 Hz, /å/) + Basson (495 Hz, /o/) : Δ=248 Hz — dialogue bois classique, coloration /o/–/å/. Règle pratique : pour un enrichissement spectral optimal sans risque de masquage, viser un écart d'au moins deux zones vocaliques entre les F1 des instruments doublés (Δ ≥ 200–300 Hz).</w:t>
      </w:r>
    </w:p>
    <w:p>
      <w:pPr>
        <w:pStyle w:val="Heading3"/>
      </w:pPr>
      <w:r>
        <w:rPr>
          <w:color w:val="4A148C"/>
        </w:rPr>
        <w:t>3. Effet de section (homogénéisation formantique)</w:t>
      </w:r>
    </w:p>
    <w:p>
      <w:r>
        <w:rPr>
          <w:b w:val="0"/>
          <w:i w:val="0"/>
          <w:sz w:val="20"/>
        </w:rPr>
        <w:t>Les données SOL2020 révèlent que le passage du soliste à l'ensemble produit un effet mesurable sur le spectre, mais différent de l'intuition : ce n'est pas F1 qui monte, c'est F2 et F3 qui s'abaissent, indiquant une homogénéisation collective des harmoniques supérieurs. Mesures comparées (ordinario) : InstrumentSolo F1Ens. F1Δ F1Solo F2Ens. F2Δ F2 Violon506 Hz495 Hz−2 %1 518 Hz1 163 Hz−23 % Alto377 Hz366 Hz−3 %829 Hz764 Hz−8 % Violoncelle205 Hz205 Hz0 %506 Hz474 Hz−6 % Contrebasse172 Hz172 Hz0 %474 Hz441 Hz−7 % Interprétation : l'effet de section ne déplace pas le premier formant — il lisse les harmoniques supérieurs. F2 et F3 s'abaissent parce que les irrégularités spectrales individuelles se moyennent dans le collectif. Le résultat perceptif est un timbre plus fondu, moins caractérisé spectralement qu'un soliste — c'est précisément la différence de texture entre un quatuor à cordes et une section orchestrale complète.</w:t>
      </w:r>
    </w:p>
    <w:p>
      <w:pPr>
        <w:pStyle w:val="Heading3"/>
      </w:pPr>
      <w:r>
        <w:rPr>
          <w:color w:val="4A148C"/>
        </w:rPr>
        <w:t>4. La sourdine comme transposition timbrale</w:t>
      </w:r>
    </w:p>
    <w:p>
      <w:r>
        <w:rPr>
          <w:b w:val="0"/>
          <w:i w:val="0"/>
          <w:sz w:val="20"/>
        </w:rPr>
        <w:t>L'effet de la sourdine sur le spectre formantique est prévisible par type, mais non uniforme entre familles. L'affirmation intuitive d'un « abaissement systématique du F1 » ne résiste pas aux données. Cordes : la sourdine abaisse systématiquement le F1 de 6 à 40 %, déplaçant le timbre d'une zone vocalique vers le grave. La sourdine piombo (lourde) produit un effet toujours plus marqué que la sourdine ordinaire. Exemples mesurés : Violon ordinario F1=506 Hz → sourdine −28 % (366 Hz) → piombo −32 % (344 Hz) ; Alto −9 % / −40 % ; Ens. violons −28 %. Cuivres — l'effet dépend entièrement du type de sourdine : Cor (sourdine ordinaire) : légère baisse −11 % (388 → 344 Hz) — seul cuivre qui suit le schéma des cordes. Straight : variation faible (Trombone −5 %, Trompette +40 %) — effet neutre à modéré. Wah ouvert : légère baisse (Trombone −5 %, Trompette −29 %). Wah fermé : effet inverse — F1 monte (Trombone +68 %, Trompette −26 %). Cup : F1 monte significativement — la sourdine filtre les graves et propulse l'énergie vers le medium (Trombone +54 %, Trompette +84 %). Harmon : déplacement extrême et opposé selon l'instrument : Trompette +200 % (786 → 2 358 Hz, zone /i/) ; Trombone −32 % (237 → 162 Hz). Tuba basse : aucun effet mesurable (Δ=0 Hz). Conclusion : la transposition timbrale vers le grave est valide pour les cordes et le cor. Pour les cuivres, les sourdines cup et harmon produisent l'effet opposé — une transposition vers l'aigu, parfois extrême. La sourdine harmon trompette est le cas le plus spectaculaire du corpus : elle déplace le F1 de la zone /a/ à la zone /i/, soit un saut de deux voyelles vers l'aigu.</w:t>
      </w:r>
    </w:p>
    <w:p>
      <w:pPr>
        <w:pStyle w:val="Heading3"/>
      </w:pPr>
      <w:r>
        <w:rPr>
          <w:color w:val="4A148C"/>
        </w:rPr>
        <w:t>5. Familles formantiques transversales</w:t>
      </w:r>
    </w:p>
    <w:p>
      <w:r>
        <w:rPr>
          <w:b w:val="0"/>
          <w:i w:val="0"/>
          <w:sz w:val="20"/>
        </w:rPr>
        <w:t>Les familles instrumentales traditionnelles (Bois, Cuivres, Cordes) ne correspondent pas aux regroupements formantiques. L'analyse par zones vocaliques révèle des familles acoustiques transversales qui traversent les frontières organologiques — et qui sont plus pertinentes pour prédire les fusions timbrales. Famille /u/ (200–400 Hz) — Profondeur : Contrebasson (226 Hz), Tuba basse (226), Tuba contrebasse (226), Clarinette basse (323), Contrebasse (172). Trois familles instrumentales, une même couleur sombre et grave. Famille /o/–/å/ (377–510 Hz) — Plénitude : Alto (377), Cor (388), Sax alto (398), Cor anglais (452), Cl. Sib (463), Basson (495), Ens. Violons (495), Violon (506). C'est le cluster de convergence — 8 instruments de 4 familles réunis dans 129 Hz. Note : Trombone (F1=237 Hz, /u/) et Violoncelle (F1=205 Hz, /u/) rejoignent cette zone via leur Fp centroïde (1 218 Hz et ~600 Hz). Famille /a/ (800–1 250 Hz) — Puissance : Trombone basse Fp (1 335), Clarinette basse Fp (1 204), Clarinette Sib Fp (1 412), Cor anglais Fp (1 135), Trompette Fp (1 046). Ces instruments partagent une zone de présence et de projection commune dans le médium. Famille /e/ (1 250–2 600 Hz) — Clarté : Flûte Fp (1 535), Hautbois Fp (1 485), Clarinette Mib Fp (1 266), Ensemble de violons F2 (1 163). Instruments de brillance et d'articulation spectrale. Conséquence orchestrale : un compositeur qui veut renforcer la couleur /o/ peut doubler librement entre Cor anglais, Cor, Basson et Violon — la famille acoustique transcende les familles instrumentales. À l'inverse, mélanger deux familles formantiques adjacentes produit la complémentarité spectrale du principe 2.</w:t>
      </w:r>
    </w:p>
    <w:p>
      <w:pPr>
        <w:pStyle w:val="Heading3"/>
      </w:pPr>
      <w:r>
        <w:rPr>
          <w:color w:val="4A148C"/>
        </w:rPr>
        <w:t>6. Masquage spectral évité</w:t>
      </w:r>
    </w:p>
    <w:p>
      <w:r>
        <w:rPr>
          <w:b w:val="0"/>
          <w:i w:val="0"/>
          <w:sz w:val="20"/>
        </w:rPr>
        <w:t>Le masquage spectral — phénomène par lequel un instrument couvre acoustiquement un autre — est particulièrement risqué quand deux instruments partagent une zone vocalique similaire sans convergence formantique (Δ F1 entre 80 et 200 Hz). Dans cette zone grise, les spectres se chevauchent partiellement sans fusionner, créant une concurrence pour la même bande de fréquences. Paires à risque identifiées dans le corpus (Δ 80–200 Hz) : Clarinette Sib (463 Hz) + Alto (377 Hz) : Δ=86 Hz — ni fusion ni complémentarité claire. Basson (495 Hz) + Cor (388 Hz) : Δ=107 Hz — zone de concurrence /o/ ; fonctionne mieux comme convergence intentionnelle (voir principe 1). Cor (388 Hz) + Violon (506 Hz) : Δ=118 Hz — le cor peut couvrir le violon en nuance forte. Trombone basse (258 Hz) + Contrebasse (172 Hz) : Δ=86 Hz — les deux occupent /u/ sans fusionner. Trois stratégies d'évitement : Convergence intentionnelle (Δ ≤ 30 Hz) : pousser les deux instruments vers la fusion complète — le masquage se résout en couleur unique. Divergence intentionnelle (Δ ≥ 300 Hz) : zones spectrales assez éloignées pour coexister — lisibilité timbrale garantie. Différenciation dynamique ou de registre : deux instruments en zone /o/ placés à des dynamiques distinctes (p / f) ou dans des registres éloignés réduisent le chevauchement spectral effectif. Note : le masquage n'est pas toujours à éviter — utilisé intentionnellement, il peut créer un épaississement timbral recherché (tutti à cordes en doublures serrées). C'est un outil d'orchestration, pas seulement un risque.</w:t>
      </w:r>
    </w:p>
    <w:p>
      <w:pPr>
        <w:pStyle w:val="Heading3"/>
      </w:pPr>
      <w:r>
        <w:rPr>
          <w:color w:val="4A148C"/>
        </w:rPr>
        <w:t>7. Les convergences sont spécifiques au registre</w:t>
      </w:r>
    </w:p>
    <w:p>
      <w:r>
        <w:rPr>
          <w:b w:val="0"/>
          <w:i w:val="0"/>
          <w:sz w:val="20"/>
        </w:rPr>
        <w:t>La moyenne globale masque des convergences formantiques qui n'existent que dans un registre particulier. Deux instruments peuvent diverger globalement mais fusionner parfaitement quand ils jouent dans un registre spécifique. Exemple démonstratif : le cor (F1 global = 431 Hz) et l'alto (F1 global = 355 Hz) divergent de 76 Hz — mais dans leur registre médium commun, F1 = 323 Hz des deux côtés (Δ = 0 Hz). De même, la clarinette en registre de gorge (F1 = 355 Hz) converge exactement avec le violon médium et aigu (F1 = 355 Hz) — fondement acoustique de la doublure clarinette-violon classique de Mozart et Brahms. Conséquence pratique : les doublures classiques fonctionnent parce que les compositeurs écrivent les instruments dans les registres où ils convergent. Une doublure cor-alto est efficace dans le médium mais pas nécessairement dans l'aigu. L'analyse par registre est donc plus pertinente que la moyenne globale pour prédire la qualité d'une doublure.</w:t>
      </w:r>
    </w:p>
    <w:p>
      <w:pPr>
        <w:pStyle w:val="Heading3"/>
      </w:pPr>
      <w:r>
        <w:rPr>
          <w:color w:val="4A148C"/>
        </w:rPr>
        <w:t>8. Le « super-cluster » de registre médium</w:t>
      </w:r>
    </w:p>
    <w:p>
      <w:r>
        <w:rPr>
          <w:b w:val="0"/>
          <w:i w:val="0"/>
          <w:sz w:val="20"/>
        </w:rPr>
        <w:t>Quatre instruments de trois familles — flûte grave (F1=334 Hz), cor médium (F1=323 Hz), trompette médium (F1=323 Hz), alto médium (F1=323 Hz) — convergent dans une bande de 11 Hz autour de 323–334 Hz (zone /o/). Ce « super-cluster » transcende les familles instrumentales et explique pourquoi les tutti médium de l'orchestre romantique (Brahms, Tchaïkovsky) produisent une homogénéité timbrale remarquable malgré la diversité des sources. Autres convergences de registre remarquables : Clarinette chalumeau (215 Hz) + Trombone grave (215 Hz) : Δ=0 Hz — même zone /u/, une doublure à l'octave qui produit une fusion remarquable. Flûte médium (528 Hz) + Basson bas-médium (517 Hz) : Δ=11 Hz — fondement de la doublure flûte-basson à l'octave (Beethoven, Pastorale). Basson haut-médium (377 Hz) + Alto grave (366 Hz) : Δ=11 Hz — parenté timbrale basson-alto dans la zone /å/. Cor aigu (484 Hz) + Trompette grave (495 Hz) : Δ=11 Hz — convergence cuivres dans la zone /o/.</w:t>
      </w:r>
    </w:p>
    <w:p>
      <w:pPr>
        <w:pStyle w:val="Heading3"/>
      </w:pPr>
      <w:r>
        <w:rPr>
          <w:color w:val="4A148C"/>
        </w:rPr>
        <w:t>9. Stabilité du Fp par registre — le centroïde comme signature timbrale</w:t>
      </w:r>
    </w:p>
    <w:p>
      <w:r>
        <w:rPr>
          <w:b w:val="0"/>
          <w:i w:val="0"/>
          <w:sz w:val="20"/>
        </w:rPr>
        <w:t>Le Fp varie peu d'un registre à l'autre pour un même instrument. Exemples : cor Fp = 698–724 Hz sur 4 registres (variation &amp;lt; 4 %), trombone Fp = 1 217–1 290 Hz (variation 6 %), violoncelle Fp = 965–1 020 Hz (variation 6 %). Cela confirme que le Fp capture une caractéristique structurelle de l'instrument — résonance du corps, du pavillon ou de la caisse — indépendante de la note jouée. Conséquence : les convergences Fp inter-instruments sont robustes quel que soit le registre. Le trombone (Fp ≈ 1 217–1 260 Hz) converge avec la contrebasse (Fp ≈ 1 283–1 297 Hz) dans tous les registres. Le basson (Fp ≈ 1 063–1 109 Hz) converge avec la trompette (Fp ≈ 1 043–1 088 Hz) de manière stable. Le Fp est donc la mesure la plus fiable pour prédire la fusion timbrale entre instruments à grande tessiture — là où F1 et F2 sont trop instables pour servir de référence.</w:t>
      </w:r>
    </w:p>
    <w:p/>
    <w:p>
      <w:pPr>
        <w:pStyle w:val="Heading2"/>
      </w:pPr>
      <w:r>
        <w:rPr>
          <w:color w:val="1565C0"/>
        </w:rPr>
        <w:t>Tableau de référence Fp — bandes de calcul et contexte</w:t>
      </w:r>
    </w:p>
    <w:p>
      <w:r>
        <w:rPr>
          <w:b w:val="0"/>
          <w:i/>
          <w:sz w:val="18"/>
        </w:rPr>
        <w:t>Valeurs Fp de référence (soliste, ordinario). Les variantes ensemble/sourdine sont documentées dans les sections instrumentales.</w:t>
      </w:r>
    </w:p>
    <w:tbl>
      <w:tblPr>
        <w:tblStyle w:val="TableGrid"/>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shd w:fill="1565C0"/>
          </w:tcPr>
          <w:p>
            <w:pPr>
              <w:jc w:val="center"/>
            </w:pPr>
            <w:r/>
            <w:r>
              <w:rPr>
                <w:b/>
                <w:color w:val="FFFFFF"/>
                <w:sz w:val="16"/>
              </w:rPr>
              <w:t>Instrument</w:t>
            </w:r>
          </w:p>
        </w:tc>
        <w:tc>
          <w:tcPr>
            <w:tcW w:type="dxa" w:w="1384"/>
            <w:shd w:fill="1565C0"/>
          </w:tcPr>
          <w:p>
            <w:pPr>
              <w:jc w:val="center"/>
            </w:pPr>
            <w:r/>
            <w:r>
              <w:rPr>
                <w:b/>
                <w:color w:val="FFFFFF"/>
                <w:sz w:val="16"/>
              </w:rPr>
              <w:t>Fp réf.</w:t>
            </w:r>
          </w:p>
        </w:tc>
        <w:tc>
          <w:tcPr>
            <w:tcW w:type="dxa" w:w="1384"/>
            <w:shd w:fill="1565C0"/>
          </w:tcPr>
          <w:p>
            <w:pPr>
              <w:jc w:val="center"/>
            </w:pPr>
            <w:r/>
            <w:r>
              <w:rPr>
                <w:b/>
                <w:color w:val="FFFFFF"/>
                <w:sz w:val="16"/>
              </w:rPr>
              <w:t>Bande</w:t>
            </w:r>
          </w:p>
        </w:tc>
        <w:tc>
          <w:tcPr>
            <w:tcW w:type="dxa" w:w="1384"/>
            <w:shd w:fill="1565C0"/>
          </w:tcPr>
          <w:p>
            <w:pPr>
              <w:jc w:val="center"/>
            </w:pPr>
            <w:r/>
            <w:r>
              <w:rPr>
                <w:b/>
                <w:color w:val="FFFFFF"/>
                <w:sz w:val="16"/>
              </w:rPr>
              <w:t>σ(Fp)</w:t>
            </w:r>
          </w:p>
        </w:tc>
        <w:tc>
          <w:tcPr>
            <w:tcW w:type="dxa" w:w="1384"/>
            <w:shd w:fill="1565C0"/>
          </w:tcPr>
          <w:p>
            <w:pPr>
              <w:jc w:val="center"/>
            </w:pPr>
            <w:r/>
            <w:r>
              <w:rPr>
                <w:b/>
                <w:color w:val="FFFFFF"/>
                <w:sz w:val="16"/>
              </w:rPr>
              <w:t>Contexte</w:t>
            </w:r>
          </w:p>
        </w:tc>
        <w:tc>
          <w:tcPr>
            <w:tcW w:type="dxa" w:w="1384"/>
            <w:shd w:fill="1565C0"/>
          </w:tcPr>
          <w:p>
            <w:pPr>
              <w:jc w:val="center"/>
            </w:pPr>
            <w:r/>
            <w:r>
              <w:rPr>
                <w:b/>
                <w:color w:val="FFFFFF"/>
                <w:sz w:val="16"/>
              </w:rPr>
              <w:t>N</w:t>
            </w:r>
          </w:p>
        </w:tc>
        <w:tc>
          <w:tcPr>
            <w:tcW w:type="dxa" w:w="1384"/>
            <w:shd w:fill="1565C0"/>
          </w:tcPr>
          <w:p>
            <w:pPr>
              <w:jc w:val="center"/>
            </w:pPr>
            <w:r/>
            <w:r>
              <w:rPr>
                <w:b/>
                <w:color w:val="FFFFFF"/>
                <w:sz w:val="16"/>
              </w:rPr>
              <w:t>Notes</w:t>
            </w:r>
          </w:p>
        </w:tc>
      </w:tr>
      <w:tr>
        <w:tc>
          <w:tcPr>
            <w:tcW w:type="dxa" w:w="1384"/>
          </w:tcPr>
          <w:p>
            <w:pPr>
              <w:jc w:val="center"/>
            </w:pPr>
            <w:r/>
            <w:r>
              <w:rPr>
                <w:b/>
                <w:sz w:val="16"/>
              </w:rPr>
              <w:t>Flûte</w:t>
            </w:r>
          </w:p>
        </w:tc>
        <w:tc>
          <w:tcPr>
            <w:tcW w:type="dxa" w:w="1384"/>
          </w:tcPr>
          <w:p>
            <w:pPr>
              <w:jc w:val="center"/>
            </w:pPr>
            <w:r/>
            <w:r>
              <w:rPr>
                <w:b w:val="0"/>
                <w:sz w:val="16"/>
              </w:rPr>
              <w:t>1 535</w:t>
            </w:r>
          </w:p>
        </w:tc>
        <w:tc>
          <w:tcPr>
            <w:tcW w:type="dxa" w:w="1384"/>
          </w:tcPr>
          <w:p>
            <w:pPr>
              <w:jc w:val="center"/>
            </w:pPr>
            <w:r/>
            <w:r>
              <w:rPr>
                <w:b w:val="0"/>
                <w:sz w:val="16"/>
              </w:rPr>
              <w:t>1 000–2 000</w:t>
            </w:r>
          </w:p>
        </w:tc>
        <w:tc>
          <w:tcPr>
            <w:tcW w:type="dxa" w:w="1384"/>
          </w:tcPr>
          <w:p>
            <w:pPr>
              <w:jc w:val="center"/>
            </w:pPr>
            <w:r/>
            <w:r>
              <w:rPr>
                <w:b w:val="0"/>
                <w:sz w:val="16"/>
              </w:rPr>
              <w:t>~150</w:t>
            </w:r>
          </w:p>
        </w:tc>
        <w:tc>
          <w:tcPr>
            <w:tcW w:type="dxa" w:w="1384"/>
          </w:tcPr>
          <w:p>
            <w:pPr>
              <w:jc w:val="center"/>
            </w:pPr>
            <w:r/>
            <w:r>
              <w:rPr>
                <w:b w:val="0"/>
                <w:sz w:val="16"/>
              </w:rPr>
              <w:t>Solo ord.</w:t>
            </w:r>
          </w:p>
        </w:tc>
        <w:tc>
          <w:tcPr>
            <w:tcW w:type="dxa" w:w="1384"/>
          </w:tcPr>
          <w:p>
            <w:pPr>
              <w:jc w:val="center"/>
            </w:pPr>
            <w:r/>
            <w:r>
              <w:rPr>
                <w:b w:val="0"/>
                <w:sz w:val="16"/>
              </w:rPr>
              <w:t>118</w:t>
            </w:r>
          </w:p>
        </w:tc>
        <w:tc>
          <w:tcPr>
            <w:tcW w:type="dxa" w:w="1384"/>
          </w:tcPr>
          <w:p>
            <w:pPr>
              <w:jc w:val="center"/>
            </w:pPr>
            <w:r/>
            <w:r>
              <w:rPr>
                <w:b w:val="0"/>
                <w:sz w:val="16"/>
              </w:rPr>
              <w:t>—</w:t>
            </w:r>
          </w:p>
        </w:tc>
      </w:tr>
      <w:tr>
        <w:tc>
          <w:tcPr>
            <w:tcW w:type="dxa" w:w="1384"/>
          </w:tcPr>
          <w:p>
            <w:pPr>
              <w:jc w:val="center"/>
            </w:pPr>
            <w:r/>
            <w:r>
              <w:rPr>
                <w:b/>
                <w:sz w:val="16"/>
              </w:rPr>
              <w:t>Hautbois</w:t>
            </w:r>
          </w:p>
        </w:tc>
        <w:tc>
          <w:tcPr>
            <w:tcW w:type="dxa" w:w="1384"/>
          </w:tcPr>
          <w:p>
            <w:pPr>
              <w:jc w:val="center"/>
            </w:pPr>
            <w:r/>
            <w:r>
              <w:rPr>
                <w:b w:val="0"/>
                <w:sz w:val="16"/>
              </w:rPr>
              <w:t>1 485</w:t>
            </w:r>
          </w:p>
        </w:tc>
        <w:tc>
          <w:tcPr>
            <w:tcW w:type="dxa" w:w="1384"/>
          </w:tcPr>
          <w:p>
            <w:pPr>
              <w:jc w:val="center"/>
            </w:pPr>
            <w:r/>
            <w:r>
              <w:rPr>
                <w:b w:val="0"/>
                <w:sz w:val="16"/>
              </w:rPr>
              <w:t>1 000–2 000</w:t>
            </w:r>
          </w:p>
        </w:tc>
        <w:tc>
          <w:tcPr>
            <w:tcW w:type="dxa" w:w="1384"/>
          </w:tcPr>
          <w:p>
            <w:pPr>
              <w:jc w:val="center"/>
            </w:pPr>
            <w:r/>
            <w:r>
              <w:rPr>
                <w:b w:val="0"/>
                <w:sz w:val="16"/>
              </w:rPr>
              <w:t>~90</w:t>
            </w:r>
          </w:p>
        </w:tc>
        <w:tc>
          <w:tcPr>
            <w:tcW w:type="dxa" w:w="1384"/>
          </w:tcPr>
          <w:p>
            <w:pPr>
              <w:jc w:val="center"/>
            </w:pPr>
            <w:r/>
            <w:r>
              <w:rPr>
                <w:b w:val="0"/>
                <w:sz w:val="16"/>
              </w:rPr>
              <w:t>Solo ord.</w:t>
            </w:r>
          </w:p>
        </w:tc>
        <w:tc>
          <w:tcPr>
            <w:tcW w:type="dxa" w:w="1384"/>
          </w:tcPr>
          <w:p>
            <w:pPr>
              <w:jc w:val="center"/>
            </w:pPr>
            <w:r/>
            <w:r>
              <w:rPr>
                <w:b w:val="0"/>
                <w:sz w:val="16"/>
              </w:rPr>
              <w:t>107</w:t>
            </w:r>
          </w:p>
        </w:tc>
        <w:tc>
          <w:tcPr>
            <w:tcW w:type="dxa" w:w="1384"/>
          </w:tcPr>
          <w:p>
            <w:pPr>
              <w:jc w:val="center"/>
            </w:pPr>
            <w:r/>
            <w:r>
              <w:rPr>
                <w:b w:val="0"/>
                <w:sz w:val="16"/>
              </w:rPr>
              <w:t>Stable 6 %</w:t>
            </w:r>
          </w:p>
        </w:tc>
      </w:tr>
      <w:tr>
        <w:tc>
          <w:tcPr>
            <w:tcW w:type="dxa" w:w="1384"/>
          </w:tcPr>
          <w:p>
            <w:pPr>
              <w:jc w:val="center"/>
            </w:pPr>
            <w:r/>
            <w:r>
              <w:rPr>
                <w:b/>
                <w:sz w:val="16"/>
              </w:rPr>
              <w:t>Clarinette Sib</w:t>
            </w:r>
          </w:p>
        </w:tc>
        <w:tc>
          <w:tcPr>
            <w:tcW w:type="dxa" w:w="1384"/>
          </w:tcPr>
          <w:p>
            <w:pPr>
              <w:jc w:val="center"/>
            </w:pPr>
            <w:r/>
            <w:r>
              <w:rPr>
                <w:b w:val="0"/>
                <w:sz w:val="16"/>
              </w:rPr>
              <w:t>1 412</w:t>
            </w:r>
          </w:p>
        </w:tc>
        <w:tc>
          <w:tcPr>
            <w:tcW w:type="dxa" w:w="1384"/>
          </w:tcPr>
          <w:p>
            <w:pPr>
              <w:jc w:val="center"/>
            </w:pPr>
            <w:r/>
            <w:r>
              <w:rPr>
                <w:b w:val="0"/>
                <w:sz w:val="16"/>
              </w:rPr>
              <w:t>1 000–2 000</w:t>
            </w:r>
          </w:p>
        </w:tc>
        <w:tc>
          <w:tcPr>
            <w:tcW w:type="dxa" w:w="1384"/>
          </w:tcPr>
          <w:p>
            <w:pPr>
              <w:jc w:val="center"/>
            </w:pPr>
            <w:r/>
            <w:r>
              <w:rPr>
                <w:b w:val="0"/>
                <w:sz w:val="16"/>
              </w:rPr>
              <w:t>169</w:t>
            </w:r>
          </w:p>
        </w:tc>
        <w:tc>
          <w:tcPr>
            <w:tcW w:type="dxa" w:w="1384"/>
          </w:tcPr>
          <w:p>
            <w:pPr>
              <w:jc w:val="center"/>
            </w:pPr>
            <w:r/>
            <w:r>
              <w:rPr>
                <w:b w:val="0"/>
                <w:sz w:val="16"/>
              </w:rPr>
              <w:t>Solo ord.</w:t>
            </w:r>
          </w:p>
        </w:tc>
        <w:tc>
          <w:tcPr>
            <w:tcW w:type="dxa" w:w="1384"/>
          </w:tcPr>
          <w:p>
            <w:pPr>
              <w:jc w:val="center"/>
            </w:pPr>
            <w:r/>
            <w:r>
              <w:rPr>
                <w:b w:val="0"/>
                <w:sz w:val="16"/>
              </w:rPr>
              <w:t>126</w:t>
            </w:r>
          </w:p>
        </w:tc>
        <w:tc>
          <w:tcPr>
            <w:tcW w:type="dxa" w:w="1384"/>
          </w:tcPr>
          <w:p>
            <w:pPr>
              <w:jc w:val="center"/>
            </w:pPr>
            <w:r/>
            <w:r>
              <w:rPr>
                <w:b w:val="0"/>
                <w:sz w:val="16"/>
              </w:rPr>
              <w:t>Var. 1 296 (800–1 600)</w:t>
            </w:r>
          </w:p>
        </w:tc>
      </w:tr>
      <w:tr>
        <w:tc>
          <w:tcPr>
            <w:tcW w:type="dxa" w:w="1384"/>
          </w:tcPr>
          <w:p>
            <w:pPr>
              <w:jc w:val="center"/>
            </w:pPr>
            <w:r/>
            <w:r>
              <w:rPr>
                <w:b/>
                <w:sz w:val="16"/>
              </w:rPr>
              <w:t>Basson</w:t>
            </w:r>
          </w:p>
        </w:tc>
        <w:tc>
          <w:tcPr>
            <w:tcW w:type="dxa" w:w="1384"/>
          </w:tcPr>
          <w:p>
            <w:pPr>
              <w:jc w:val="center"/>
            </w:pPr>
            <w:r/>
            <w:r>
              <w:rPr>
                <w:b w:val="0"/>
                <w:sz w:val="16"/>
              </w:rPr>
              <w:t>1 079</w:t>
            </w:r>
          </w:p>
        </w:tc>
        <w:tc>
          <w:tcPr>
            <w:tcW w:type="dxa" w:w="1384"/>
          </w:tcPr>
          <w:p>
            <w:pPr>
              <w:jc w:val="center"/>
            </w:pPr>
            <w:r/>
            <w:r>
              <w:rPr>
                <w:b w:val="0"/>
                <w:sz w:val="16"/>
              </w:rPr>
              <w:t>800–1 600</w:t>
            </w:r>
          </w:p>
        </w:tc>
        <w:tc>
          <w:tcPr>
            <w:tcW w:type="dxa" w:w="1384"/>
          </w:tcPr>
          <w:p>
            <w:pPr>
              <w:jc w:val="center"/>
            </w:pPr>
            <w:r/>
            <w:r>
              <w:rPr>
                <w:b w:val="0"/>
                <w:sz w:val="16"/>
              </w:rPr>
              <w:t>~60</w:t>
            </w:r>
          </w:p>
        </w:tc>
        <w:tc>
          <w:tcPr>
            <w:tcW w:type="dxa" w:w="1384"/>
          </w:tcPr>
          <w:p>
            <w:pPr>
              <w:jc w:val="center"/>
            </w:pPr>
            <w:r/>
            <w:r>
              <w:rPr>
                <w:b w:val="0"/>
                <w:sz w:val="16"/>
              </w:rPr>
              <w:t>Solo ord.</w:t>
            </w:r>
          </w:p>
        </w:tc>
        <w:tc>
          <w:tcPr>
            <w:tcW w:type="dxa" w:w="1384"/>
          </w:tcPr>
          <w:p>
            <w:pPr>
              <w:jc w:val="center"/>
            </w:pPr>
            <w:r/>
            <w:r>
              <w:rPr>
                <w:b w:val="0"/>
                <w:sz w:val="16"/>
              </w:rPr>
              <w:t>126</w:t>
            </w:r>
          </w:p>
        </w:tc>
        <w:tc>
          <w:tcPr>
            <w:tcW w:type="dxa" w:w="1384"/>
          </w:tcPr>
          <w:p>
            <w:pPr>
              <w:jc w:val="center"/>
            </w:pPr>
            <w:r/>
            <w:r>
              <w:rPr>
                <w:b w:val="0"/>
                <w:sz w:val="16"/>
              </w:rPr>
              <w:t>Très stable 4 %</w:t>
            </w:r>
          </w:p>
        </w:tc>
      </w:tr>
      <w:tr>
        <w:tc>
          <w:tcPr>
            <w:tcW w:type="dxa" w:w="1384"/>
          </w:tcPr>
          <w:p>
            <w:pPr>
              <w:jc w:val="center"/>
            </w:pPr>
            <w:r/>
            <w:r>
              <w:rPr>
                <w:b/>
                <w:sz w:val="16"/>
              </w:rPr>
              <w:t>Cor</w:t>
            </w:r>
          </w:p>
        </w:tc>
        <w:tc>
          <w:tcPr>
            <w:tcW w:type="dxa" w:w="1384"/>
          </w:tcPr>
          <w:p>
            <w:pPr>
              <w:jc w:val="center"/>
            </w:pPr>
            <w:r/>
            <w:r>
              <w:rPr>
                <w:b w:val="0"/>
                <w:sz w:val="16"/>
              </w:rPr>
              <w:t>738</w:t>
            </w:r>
          </w:p>
        </w:tc>
        <w:tc>
          <w:tcPr>
            <w:tcW w:type="dxa" w:w="1384"/>
          </w:tcPr>
          <w:p>
            <w:pPr>
              <w:jc w:val="center"/>
            </w:pPr>
            <w:r/>
            <w:r>
              <w:rPr>
                <w:b w:val="0"/>
                <w:sz w:val="16"/>
              </w:rPr>
              <w:t>600–1 400</w:t>
            </w:r>
          </w:p>
        </w:tc>
        <w:tc>
          <w:tcPr>
            <w:tcW w:type="dxa" w:w="1384"/>
          </w:tcPr>
          <w:p>
            <w:pPr>
              <w:jc w:val="center"/>
            </w:pPr>
            <w:r/>
            <w:r>
              <w:rPr>
                <w:b w:val="0"/>
                <w:sz w:val="16"/>
              </w:rPr>
              <w:t>112</w:t>
            </w:r>
          </w:p>
        </w:tc>
        <w:tc>
          <w:tcPr>
            <w:tcW w:type="dxa" w:w="1384"/>
          </w:tcPr>
          <w:p>
            <w:pPr>
              <w:jc w:val="center"/>
            </w:pPr>
            <w:r/>
            <w:r>
              <w:rPr>
                <w:b w:val="0"/>
                <w:sz w:val="16"/>
              </w:rPr>
              <w:t>Solo ord.</w:t>
            </w:r>
          </w:p>
        </w:tc>
        <w:tc>
          <w:tcPr>
            <w:tcW w:type="dxa" w:w="1384"/>
          </w:tcPr>
          <w:p>
            <w:pPr>
              <w:jc w:val="center"/>
            </w:pPr>
            <w:r/>
            <w:r>
              <w:rPr>
                <w:b w:val="0"/>
                <w:sz w:val="16"/>
              </w:rPr>
              <w:t>134</w:t>
            </w:r>
          </w:p>
        </w:tc>
        <w:tc>
          <w:tcPr>
            <w:tcW w:type="dxa" w:w="1384"/>
          </w:tcPr>
          <w:p>
            <w:pPr>
              <w:jc w:val="center"/>
            </w:pPr>
            <w:r/>
            <w:r>
              <w:rPr>
                <w:b w:val="0"/>
                <w:sz w:val="16"/>
              </w:rPr>
              <w:t>Le plus stable &lt; 4 %</w:t>
            </w:r>
          </w:p>
        </w:tc>
      </w:tr>
      <w:tr>
        <w:tc>
          <w:tcPr>
            <w:tcW w:type="dxa" w:w="1384"/>
          </w:tcPr>
          <w:p>
            <w:pPr>
              <w:jc w:val="center"/>
            </w:pPr>
            <w:r/>
            <w:r>
              <w:rPr>
                <w:b/>
                <w:sz w:val="16"/>
              </w:rPr>
              <w:t>Trompette</w:t>
            </w:r>
          </w:p>
        </w:tc>
        <w:tc>
          <w:tcPr>
            <w:tcW w:type="dxa" w:w="1384"/>
          </w:tcPr>
          <w:p>
            <w:pPr>
              <w:jc w:val="center"/>
            </w:pPr>
            <w:r/>
            <w:r>
              <w:rPr>
                <w:b w:val="0"/>
                <w:sz w:val="16"/>
              </w:rPr>
              <w:t>1 046</w:t>
            </w:r>
          </w:p>
        </w:tc>
        <w:tc>
          <w:tcPr>
            <w:tcW w:type="dxa" w:w="1384"/>
          </w:tcPr>
          <w:p>
            <w:pPr>
              <w:jc w:val="center"/>
            </w:pPr>
            <w:r/>
            <w:r>
              <w:rPr>
                <w:b w:val="0"/>
                <w:sz w:val="16"/>
              </w:rPr>
              <w:t>600–1 400</w:t>
            </w:r>
          </w:p>
        </w:tc>
        <w:tc>
          <w:tcPr>
            <w:tcW w:type="dxa" w:w="1384"/>
          </w:tcPr>
          <w:p>
            <w:pPr>
              <w:jc w:val="center"/>
            </w:pPr>
            <w:r/>
            <w:r>
              <w:rPr>
                <w:b w:val="0"/>
                <w:sz w:val="16"/>
              </w:rPr>
              <w:t>98</w:t>
            </w:r>
          </w:p>
        </w:tc>
        <w:tc>
          <w:tcPr>
            <w:tcW w:type="dxa" w:w="1384"/>
          </w:tcPr>
          <w:p>
            <w:pPr>
              <w:jc w:val="center"/>
            </w:pPr>
            <w:r/>
            <w:r>
              <w:rPr>
                <w:b w:val="0"/>
                <w:sz w:val="16"/>
              </w:rPr>
              <w:t>Solo ord.</w:t>
            </w:r>
          </w:p>
        </w:tc>
        <w:tc>
          <w:tcPr>
            <w:tcW w:type="dxa" w:w="1384"/>
          </w:tcPr>
          <w:p>
            <w:pPr>
              <w:jc w:val="center"/>
            </w:pPr>
            <w:r/>
            <w:r>
              <w:rPr>
                <w:b w:val="0"/>
                <w:sz w:val="16"/>
              </w:rPr>
              <w:t>96</w:t>
            </w:r>
          </w:p>
        </w:tc>
        <w:tc>
          <w:tcPr>
            <w:tcW w:type="dxa" w:w="1384"/>
          </w:tcPr>
          <w:p>
            <w:pPr>
              <w:jc w:val="center"/>
            </w:pPr>
            <w:r/>
            <w:r>
              <w:rPr>
                <w:b w:val="0"/>
                <w:sz w:val="16"/>
              </w:rPr>
              <w:t>10,4× &gt; F2</w:t>
            </w:r>
          </w:p>
        </w:tc>
      </w:tr>
      <w:tr>
        <w:tc>
          <w:tcPr>
            <w:tcW w:type="dxa" w:w="1384"/>
          </w:tcPr>
          <w:p>
            <w:pPr>
              <w:jc w:val="center"/>
            </w:pPr>
            <w:r/>
            <w:r>
              <w:rPr>
                <w:b/>
                <w:sz w:val="16"/>
              </w:rPr>
              <w:t>Trombone</w:t>
            </w:r>
          </w:p>
        </w:tc>
        <w:tc>
          <w:tcPr>
            <w:tcW w:type="dxa" w:w="1384"/>
          </w:tcPr>
          <w:p>
            <w:pPr>
              <w:jc w:val="center"/>
            </w:pPr>
            <w:r/>
            <w:r>
              <w:rPr>
                <w:b w:val="0"/>
                <w:sz w:val="16"/>
              </w:rPr>
              <w:t>1 218</w:t>
            </w:r>
          </w:p>
        </w:tc>
        <w:tc>
          <w:tcPr>
            <w:tcW w:type="dxa" w:w="1384"/>
          </w:tcPr>
          <w:p>
            <w:pPr>
              <w:jc w:val="center"/>
            </w:pPr>
            <w:r/>
            <w:r>
              <w:rPr>
                <w:b w:val="0"/>
                <w:sz w:val="16"/>
              </w:rPr>
              <w:t>1 000–2 000</w:t>
            </w:r>
          </w:p>
        </w:tc>
        <w:tc>
          <w:tcPr>
            <w:tcW w:type="dxa" w:w="1384"/>
          </w:tcPr>
          <w:p>
            <w:pPr>
              <w:jc w:val="center"/>
            </w:pPr>
            <w:r/>
            <w:r>
              <w:rPr>
                <w:b w:val="0"/>
                <w:sz w:val="16"/>
              </w:rPr>
              <w:t>~100</w:t>
            </w:r>
          </w:p>
        </w:tc>
        <w:tc>
          <w:tcPr>
            <w:tcW w:type="dxa" w:w="1384"/>
          </w:tcPr>
          <w:p>
            <w:pPr>
              <w:jc w:val="center"/>
            </w:pPr>
            <w:r/>
            <w:r>
              <w:rPr>
                <w:b w:val="0"/>
                <w:sz w:val="16"/>
              </w:rPr>
              <w:t>Solo ord.</w:t>
            </w:r>
          </w:p>
        </w:tc>
        <w:tc>
          <w:tcPr>
            <w:tcW w:type="dxa" w:w="1384"/>
          </w:tcPr>
          <w:p>
            <w:pPr>
              <w:jc w:val="center"/>
            </w:pPr>
            <w:r/>
            <w:r>
              <w:rPr>
                <w:b w:val="0"/>
                <w:sz w:val="16"/>
              </w:rPr>
              <w:t>117</w:t>
            </w:r>
          </w:p>
        </w:tc>
        <w:tc>
          <w:tcPr>
            <w:tcW w:type="dxa" w:w="1384"/>
          </w:tcPr>
          <w:p>
            <w:pPr>
              <w:jc w:val="center"/>
            </w:pPr>
            <w:r/>
            <w:r>
              <w:rPr>
                <w:b w:val="0"/>
                <w:sz w:val="16"/>
              </w:rPr>
              <w:t>Var. 6 %/registre</w:t>
            </w:r>
          </w:p>
        </w:tc>
      </w:tr>
      <w:tr>
        <w:tc>
          <w:tcPr>
            <w:tcW w:type="dxa" w:w="1384"/>
          </w:tcPr>
          <w:p>
            <w:pPr>
              <w:jc w:val="center"/>
            </w:pPr>
            <w:r/>
            <w:r>
              <w:rPr>
                <w:b/>
                <w:sz w:val="16"/>
              </w:rPr>
              <w:t>Tuba basse</w:t>
            </w:r>
          </w:p>
        </w:tc>
        <w:tc>
          <w:tcPr>
            <w:tcW w:type="dxa" w:w="1384"/>
          </w:tcPr>
          <w:p>
            <w:pPr>
              <w:jc w:val="center"/>
            </w:pPr>
            <w:r/>
            <w:r>
              <w:rPr>
                <w:b w:val="0"/>
                <w:sz w:val="16"/>
              </w:rPr>
              <w:t>1 239</w:t>
            </w:r>
          </w:p>
        </w:tc>
        <w:tc>
          <w:tcPr>
            <w:tcW w:type="dxa" w:w="1384"/>
          </w:tcPr>
          <w:p>
            <w:pPr>
              <w:jc w:val="center"/>
            </w:pPr>
            <w:r/>
            <w:r>
              <w:rPr>
                <w:b w:val="0"/>
                <w:sz w:val="16"/>
              </w:rPr>
              <w:t>1 000–2 000</w:t>
            </w:r>
          </w:p>
        </w:tc>
        <w:tc>
          <w:tcPr>
            <w:tcW w:type="dxa" w:w="1384"/>
          </w:tcPr>
          <w:p>
            <w:pPr>
              <w:jc w:val="center"/>
            </w:pPr>
            <w:r/>
            <w:r>
              <w:rPr>
                <w:b w:val="0"/>
                <w:sz w:val="16"/>
              </w:rPr>
              <w:t>~110</w:t>
            </w:r>
          </w:p>
        </w:tc>
        <w:tc>
          <w:tcPr>
            <w:tcW w:type="dxa" w:w="1384"/>
          </w:tcPr>
          <w:p>
            <w:pPr>
              <w:jc w:val="center"/>
            </w:pPr>
            <w:r/>
            <w:r>
              <w:rPr>
                <w:b w:val="0"/>
                <w:sz w:val="16"/>
              </w:rPr>
              <w:t>Solo ord.</w:t>
            </w:r>
          </w:p>
        </w:tc>
        <w:tc>
          <w:tcPr>
            <w:tcW w:type="dxa" w:w="1384"/>
          </w:tcPr>
          <w:p>
            <w:pPr>
              <w:jc w:val="center"/>
            </w:pPr>
            <w:r/>
            <w:r>
              <w:rPr>
                <w:b w:val="0"/>
                <w:sz w:val="16"/>
              </w:rPr>
              <w:t>108</w:t>
            </w:r>
          </w:p>
        </w:tc>
        <w:tc>
          <w:tcPr>
            <w:tcW w:type="dxa" w:w="1384"/>
          </w:tcPr>
          <w:p>
            <w:pPr>
              <w:jc w:val="center"/>
            </w:pPr>
            <w:r/>
            <w:r>
              <w:rPr>
                <w:b w:val="0"/>
                <w:sz w:val="16"/>
              </w:rPr>
              <w:t>—</w:t>
            </w:r>
          </w:p>
        </w:tc>
      </w:tr>
      <w:tr>
        <w:tc>
          <w:tcPr>
            <w:tcW w:type="dxa" w:w="1384"/>
          </w:tcPr>
          <w:p>
            <w:pPr>
              <w:jc w:val="center"/>
            </w:pPr>
            <w:r/>
            <w:r>
              <w:rPr>
                <w:b/>
                <w:sz w:val="16"/>
              </w:rPr>
              <w:t>Violon solo</w:t>
            </w:r>
          </w:p>
        </w:tc>
        <w:tc>
          <w:tcPr>
            <w:tcW w:type="dxa" w:w="1384"/>
          </w:tcPr>
          <w:p>
            <w:pPr>
              <w:jc w:val="center"/>
            </w:pPr>
            <w:r/>
            <w:r>
              <w:rPr>
                <w:b w:val="0"/>
                <w:sz w:val="16"/>
              </w:rPr>
              <w:t>893</w:t>
            </w:r>
          </w:p>
        </w:tc>
        <w:tc>
          <w:tcPr>
            <w:tcW w:type="dxa" w:w="1384"/>
          </w:tcPr>
          <w:p>
            <w:pPr>
              <w:jc w:val="center"/>
            </w:pPr>
            <w:r/>
            <w:r>
              <w:rPr>
                <w:b w:val="0"/>
                <w:sz w:val="16"/>
              </w:rPr>
              <w:t>600–1 400</w:t>
            </w:r>
          </w:p>
        </w:tc>
        <w:tc>
          <w:tcPr>
            <w:tcW w:type="dxa" w:w="1384"/>
          </w:tcPr>
          <w:p>
            <w:pPr>
              <w:jc w:val="center"/>
            </w:pPr>
            <w:r/>
            <w:r>
              <w:rPr>
                <w:b w:val="0"/>
                <w:sz w:val="16"/>
              </w:rPr>
              <w:t>92</w:t>
            </w:r>
          </w:p>
        </w:tc>
        <w:tc>
          <w:tcPr>
            <w:tcW w:type="dxa" w:w="1384"/>
          </w:tcPr>
          <w:p>
            <w:pPr>
              <w:jc w:val="center"/>
            </w:pPr>
            <w:r/>
            <w:r>
              <w:rPr>
                <w:b w:val="0"/>
                <w:sz w:val="16"/>
              </w:rPr>
              <w:t>Solo ord.</w:t>
            </w:r>
          </w:p>
        </w:tc>
        <w:tc>
          <w:tcPr>
            <w:tcW w:type="dxa" w:w="1384"/>
          </w:tcPr>
          <w:p>
            <w:pPr>
              <w:jc w:val="center"/>
            </w:pPr>
            <w:r/>
            <w:r>
              <w:rPr>
                <w:b w:val="0"/>
                <w:sz w:val="16"/>
              </w:rPr>
              <w:t>284</w:t>
            </w:r>
          </w:p>
        </w:tc>
        <w:tc>
          <w:tcPr>
            <w:tcW w:type="dxa" w:w="1384"/>
          </w:tcPr>
          <w:p>
            <w:pPr>
              <w:jc w:val="center"/>
            </w:pPr>
            <w:r/>
            <w:r>
              <w:rPr>
                <w:b w:val="0"/>
                <w:sz w:val="16"/>
              </w:rPr>
              <w:t>Ens.=970, sourd.=var.</w:t>
            </w:r>
          </w:p>
        </w:tc>
      </w:tr>
      <w:tr>
        <w:tc>
          <w:tcPr>
            <w:tcW w:type="dxa" w:w="1384"/>
          </w:tcPr>
          <w:p>
            <w:pPr>
              <w:jc w:val="center"/>
            </w:pPr>
            <w:r/>
            <w:r>
              <w:rPr>
                <w:b/>
                <w:sz w:val="16"/>
              </w:rPr>
              <w:t>Alto solo</w:t>
            </w:r>
          </w:p>
        </w:tc>
        <w:tc>
          <w:tcPr>
            <w:tcW w:type="dxa" w:w="1384"/>
          </w:tcPr>
          <w:p>
            <w:pPr>
              <w:jc w:val="center"/>
            </w:pPr>
            <w:r/>
            <w:r>
              <w:rPr>
                <w:b w:val="0"/>
                <w:sz w:val="16"/>
              </w:rPr>
              <w:t>1 300</w:t>
            </w:r>
          </w:p>
        </w:tc>
        <w:tc>
          <w:tcPr>
            <w:tcW w:type="dxa" w:w="1384"/>
          </w:tcPr>
          <w:p>
            <w:pPr>
              <w:jc w:val="center"/>
            </w:pPr>
            <w:r/>
            <w:r>
              <w:rPr>
                <w:b w:val="0"/>
                <w:sz w:val="16"/>
              </w:rPr>
              <w:t>800–1 600</w:t>
            </w:r>
          </w:p>
        </w:tc>
        <w:tc>
          <w:tcPr>
            <w:tcW w:type="dxa" w:w="1384"/>
          </w:tcPr>
          <w:p>
            <w:pPr>
              <w:jc w:val="center"/>
            </w:pPr>
            <w:r/>
            <w:r>
              <w:rPr>
                <w:b w:val="0"/>
                <w:sz w:val="16"/>
              </w:rPr>
              <w:t>~120</w:t>
            </w:r>
          </w:p>
        </w:tc>
        <w:tc>
          <w:tcPr>
            <w:tcW w:type="dxa" w:w="1384"/>
          </w:tcPr>
          <w:p>
            <w:pPr>
              <w:jc w:val="center"/>
            </w:pPr>
            <w:r/>
            <w:r>
              <w:rPr>
                <w:b w:val="0"/>
                <w:sz w:val="16"/>
              </w:rPr>
              <w:t>Solo ord.</w:t>
            </w:r>
          </w:p>
        </w:tc>
        <w:tc>
          <w:tcPr>
            <w:tcW w:type="dxa" w:w="1384"/>
          </w:tcPr>
          <w:p>
            <w:pPr>
              <w:jc w:val="center"/>
            </w:pPr>
            <w:r/>
            <w:r>
              <w:rPr>
                <w:b w:val="0"/>
                <w:sz w:val="16"/>
              </w:rPr>
              <w:t>309</w:t>
            </w:r>
          </w:p>
        </w:tc>
        <w:tc>
          <w:tcPr>
            <w:tcW w:type="dxa" w:w="1384"/>
          </w:tcPr>
          <w:p>
            <w:pPr>
              <w:jc w:val="center"/>
            </w:pPr>
            <w:r/>
            <w:r>
              <w:rPr>
                <w:b w:val="0"/>
                <w:sz w:val="16"/>
              </w:rPr>
              <w:t>Ens.=954</w:t>
            </w:r>
          </w:p>
        </w:tc>
      </w:tr>
      <w:tr>
        <w:tc>
          <w:tcPr>
            <w:tcW w:type="dxa" w:w="1384"/>
          </w:tcPr>
          <w:p>
            <w:pPr>
              <w:jc w:val="center"/>
            </w:pPr>
            <w:r/>
            <w:r>
              <w:rPr>
                <w:b/>
                <w:sz w:val="16"/>
              </w:rPr>
              <w:t>Violoncelle</w:t>
            </w:r>
          </w:p>
        </w:tc>
        <w:tc>
          <w:tcPr>
            <w:tcW w:type="dxa" w:w="1384"/>
          </w:tcPr>
          <w:p>
            <w:pPr>
              <w:jc w:val="center"/>
            </w:pPr>
            <w:r/>
            <w:r>
              <w:rPr>
                <w:b w:val="0"/>
                <w:sz w:val="16"/>
              </w:rPr>
              <w:t>1 242</w:t>
            </w:r>
          </w:p>
        </w:tc>
        <w:tc>
          <w:tcPr>
            <w:tcW w:type="dxa" w:w="1384"/>
          </w:tcPr>
          <w:p>
            <w:pPr>
              <w:jc w:val="center"/>
            </w:pPr>
            <w:r/>
            <w:r>
              <w:rPr>
                <w:b w:val="0"/>
                <w:sz w:val="16"/>
              </w:rPr>
              <w:t>600–1 400</w:t>
            </w:r>
          </w:p>
        </w:tc>
        <w:tc>
          <w:tcPr>
            <w:tcW w:type="dxa" w:w="1384"/>
          </w:tcPr>
          <w:p>
            <w:pPr>
              <w:jc w:val="center"/>
            </w:pPr>
            <w:r/>
            <w:r>
              <w:rPr>
                <w:b w:val="0"/>
                <w:sz w:val="16"/>
              </w:rPr>
              <w:t>~80</w:t>
            </w:r>
          </w:p>
        </w:tc>
        <w:tc>
          <w:tcPr>
            <w:tcW w:type="dxa" w:w="1384"/>
          </w:tcPr>
          <w:p>
            <w:pPr>
              <w:jc w:val="center"/>
            </w:pPr>
            <w:r/>
            <w:r>
              <w:rPr>
                <w:b w:val="0"/>
                <w:sz w:val="16"/>
              </w:rPr>
              <w:t>Solo ord.</w:t>
            </w:r>
          </w:p>
        </w:tc>
        <w:tc>
          <w:tcPr>
            <w:tcW w:type="dxa" w:w="1384"/>
          </w:tcPr>
          <w:p>
            <w:pPr>
              <w:jc w:val="center"/>
            </w:pPr>
            <w:r/>
            <w:r>
              <w:rPr>
                <w:b w:val="0"/>
                <w:sz w:val="16"/>
              </w:rPr>
              <w:t>291</w:t>
            </w:r>
          </w:p>
        </w:tc>
        <w:tc>
          <w:tcPr>
            <w:tcW w:type="dxa" w:w="1384"/>
          </w:tcPr>
          <w:p>
            <w:pPr>
              <w:jc w:val="center"/>
            </w:pPr>
            <w:r/>
            <w:r>
              <w:rPr>
                <w:b w:val="0"/>
                <w:sz w:val="16"/>
              </w:rPr>
              <w:t>Ens.=1 471</w:t>
            </w:r>
          </w:p>
        </w:tc>
      </w:tr>
      <w:tr>
        <w:tc>
          <w:tcPr>
            <w:tcW w:type="dxa" w:w="1384"/>
          </w:tcPr>
          <w:p>
            <w:pPr>
              <w:jc w:val="center"/>
            </w:pPr>
            <w:r/>
            <w:r>
              <w:rPr>
                <w:b/>
                <w:sz w:val="16"/>
              </w:rPr>
              <w:t>Contrebasse</w:t>
            </w:r>
          </w:p>
        </w:tc>
        <w:tc>
          <w:tcPr>
            <w:tcW w:type="dxa" w:w="1384"/>
          </w:tcPr>
          <w:p>
            <w:pPr>
              <w:jc w:val="center"/>
            </w:pPr>
            <w:r/>
            <w:r>
              <w:rPr>
                <w:b w:val="0"/>
                <w:sz w:val="16"/>
              </w:rPr>
              <w:t>1 235</w:t>
            </w:r>
          </w:p>
        </w:tc>
        <w:tc>
          <w:tcPr>
            <w:tcW w:type="dxa" w:w="1384"/>
          </w:tcPr>
          <w:p>
            <w:pPr>
              <w:jc w:val="center"/>
            </w:pPr>
            <w:r/>
            <w:r>
              <w:rPr>
                <w:b w:val="0"/>
                <w:sz w:val="16"/>
              </w:rPr>
              <w:t>1 000–2 000</w:t>
            </w:r>
          </w:p>
        </w:tc>
        <w:tc>
          <w:tcPr>
            <w:tcW w:type="dxa" w:w="1384"/>
          </w:tcPr>
          <w:p>
            <w:pPr>
              <w:jc w:val="center"/>
            </w:pPr>
            <w:r/>
            <w:r>
              <w:rPr>
                <w:b w:val="0"/>
                <w:sz w:val="16"/>
              </w:rPr>
              <w:t>~50</w:t>
            </w:r>
          </w:p>
        </w:tc>
        <w:tc>
          <w:tcPr>
            <w:tcW w:type="dxa" w:w="1384"/>
          </w:tcPr>
          <w:p>
            <w:pPr>
              <w:jc w:val="center"/>
            </w:pPr>
            <w:r/>
            <w:r>
              <w:rPr>
                <w:b w:val="0"/>
                <w:sz w:val="16"/>
              </w:rPr>
              <w:t>Solo ord.</w:t>
            </w:r>
          </w:p>
        </w:tc>
        <w:tc>
          <w:tcPr>
            <w:tcW w:type="dxa" w:w="1384"/>
          </w:tcPr>
          <w:p>
            <w:pPr>
              <w:jc w:val="center"/>
            </w:pPr>
            <w:r/>
            <w:r>
              <w:rPr>
                <w:b w:val="0"/>
                <w:sz w:val="16"/>
              </w:rPr>
              <w:t>309</w:t>
            </w:r>
          </w:p>
        </w:tc>
        <w:tc>
          <w:tcPr>
            <w:tcW w:type="dxa" w:w="1384"/>
          </w:tcPr>
          <w:p>
            <w:pPr>
              <w:jc w:val="center"/>
            </w:pPr>
            <w:r/>
            <w:r>
              <w:rPr>
                <w:b w:val="0"/>
                <w:sz w:val="16"/>
              </w:rPr>
              <w:t>Ens.=1 146</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