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628083"/>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628083"/>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3" name="Picture 3"/>
            <wp:cNvGraphicFramePr>
              <a:graphicFrameLocks noChangeAspect="1"/>
            </wp:cNvGraphicFramePr>
            <a:graphic>
              <a:graphicData uri="http://schemas.openxmlformats.org/drawingml/2006/picture">
                <pic:pic>
                  <pic:nvPicPr>
                    <pic:cNvPr id="0" name="synthese_fig3_cluster.png"/>
                    <pic:cNvPicPr/>
                  </pic:nvPicPr>
                  <pic:blipFill>
                    <a:blip r:embed="rId11"/>
                    <a:stretch>
                      <a:fillRect/>
                    </a:stretch>
                  </pic:blipFill>
                  <pic:spPr>
                    <a:xfrm>
                      <a:off x="0" y="0"/>
                      <a:ext cx="5943600" cy="2759529"/>
                    </a:xfrm>
                    <a:prstGeom prst="rect"/>
                  </pic:spPr>
                </pic:pic>
              </a:graphicData>
            </a:graphic>
          </wp:inline>
        </w:drawing>
      </w:r>
    </w:p>
    <w:p/>
    <w:p>
      <w:pPr>
        <w:pStyle w:val="Heading2"/>
      </w:pPr>
      <w:r>
        <w:rPr>
          <w:color w:val="B71C1C"/>
        </w:rPr>
        <w:t>Le Cluster de Convergence — Zone /o/–/å/ (377–510 Hz)</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synthese_cluster.png"/>
                    <pic:cNvPicPr/>
                  </pic:nvPicPr>
                  <pic:blipFill>
                    <a:blip r:embed="rId12"/>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5" name="Picture 5"/>
            <wp:cNvGraphicFramePr>
              <a:graphicFrameLocks noChangeAspect="1"/>
            </wp:cNvGraphicFramePr>
            <a:graphic>
              <a:graphicData uri="http://schemas.openxmlformats.org/drawingml/2006/picture">
                <pic:pic>
                  <pic:nvPicPr>
                    <pic:cNvPr id="0" name="synthese_f1_base.png"/>
                    <pic:cNvPicPr/>
                  </pic:nvPicPr>
                  <pic:blipFill>
                    <a:blip r:embed="rId13"/>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981739"/>
            <wp:docPr id="6" name="Picture 6"/>
            <wp:cNvGraphicFramePr>
              <a:graphicFrameLocks noChangeAspect="1"/>
            </wp:cNvGraphicFramePr>
            <a:graphic>
              <a:graphicData uri="http://schemas.openxmlformats.org/drawingml/2006/picture">
                <pic:pic>
                  <pic:nvPicPr>
                    <pic:cNvPr id="0" name="synthese_matrix_base.png"/>
                    <pic:cNvPicPr/>
                  </pic:nvPicPr>
                  <pic:blipFill>
                    <a:blip r:embed="rId14"/>
                    <a:stretch>
                      <a:fillRect/>
                    </a:stretch>
                  </pic:blipFill>
                  <pic:spPr>
                    <a:xfrm>
                      <a:off x="0" y="0"/>
                      <a:ext cx="5943600" cy="5981739"/>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9632"/>
            <wp:docPr id="7" name="Picture 7"/>
            <wp:cNvGraphicFramePr>
              <a:graphicFrameLocks noChangeAspect="1"/>
            </wp:cNvGraphicFramePr>
            <a:graphic>
              <a:graphicData uri="http://schemas.openxmlformats.org/drawingml/2006/picture">
                <pic:pic>
                  <pic:nvPicPr>
                    <pic:cNvPr id="0" name="synthese_matrix_full.png"/>
                    <pic:cNvPicPr/>
                  </pic:nvPicPr>
                  <pic:blipFill>
                    <a:blip r:embed="rId15"/>
                    <a:stretch>
                      <a:fillRect/>
                    </a:stretch>
                  </pic:blipFill>
                  <pic:spPr>
                    <a:xfrm>
                      <a:off x="0" y="0"/>
                      <a:ext cx="5943600" cy="6239632"/>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6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 unisson formantique : Flûte (743) + Hautbois (743) ; Tuba contrebasse + Contrebasson + Tuba basse (tous à 226 Hz) — trois familles, une seule couleur. Δ ≤ 30 Hz — fusion quasi-parfaite : Basson (495) + Violoncelle (205) Δ=11 Hz ; Cor (388) + Alto (377) Δ=11 Hz ; Trombone (237) + Tuba basse (226) Δ=11 Hz ; Trombone (237) + Trombone basse (258) Δ=21 Hz. Δ 30–80 Hz — fusion efficace : Cor anglais (452) + Clarinette Sib (463) Δ=11 Hz.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