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Descubrimientos más relevantes</w:t>
      </w:r>
    </w:p>
    <w:p>
      <w:pPr>
        <w:pBdr>
          <w:bottom w:val="single" w:color="1F3864" w:sz="8" w:space="6"/>
        </w:pBdr>
        <w:spacing w:after="240"/>
      </w:pPr>
      <w:r>
        <w:rPr>
          <w:color w:val="595959"/>
          <w:sz w:val="24"/>
          <w:szCs w:val="24"/>
        </w:rPr>
        <w:t xml:space="preserve">Desarrollador de Inteligencia de Negocio · SQL Server, Python y Power BI</w:t>
      </w:r>
    </w:p>
    <w:p>
      <w:pPr>
        <w:pStyle w:val="Heading1"/>
      </w:pPr>
      <w:r>
        <w:t xml:space="preserve">1. Resumen ejecutivo</w:t>
      </w:r>
    </w:p>
    <w:p>
      <w:pPr>
        <w:pStyle w:val="ListParagraph"/>
        <w:numPr>
          <w:ilvl w:val="0"/>
          <w:numId w:val="2"/>
        </w:numPr>
        <w:spacing w:after="60"/>
      </w:pPr>
      <w:r>
        <w:t xml:space="preserve">Las </w:t>
      </w:r>
      <w:r>
        <w:rPr>
          <w:b/>
          <w:bCs/>
        </w:rPr>
        <w:t xml:space="preserve">4 bases quedaron cargadas</w:t>
      </w:r>
      <w:r>
        <w:t xml:space="preserve"> en SQL Server (</w:t>
      </w:r>
      <w:r>
        <w:rPr>
          <w:rFonts w:ascii="Consolas" w:cs="Consolas" w:eastAsia="Consolas" w:hAnsi="Consolas"/>
          <w:color w:val="1F4E79"/>
          <w:sz w:val="19"/>
          <w:szCs w:val="19"/>
        </w:rPr>
        <w:t xml:space="preserve">AnaliticaCobranza</w:t>
      </w:r>
      <w:r>
        <w:t xml:space="preserve">) con un modelo relacional de 13 llaves foráneas y 11 restricciones de integridad. Ninguna fila se descartó sin dejar rastro: lo descartado quedó en </w:t>
      </w:r>
      <w:r>
        <w:rPr>
          <w:rFonts w:ascii="Consolas" w:cs="Consolas" w:eastAsia="Consolas" w:hAnsi="Consolas"/>
          <w:color w:val="1F4E79"/>
          <w:sz w:val="19"/>
          <w:szCs w:val="19"/>
        </w:rPr>
        <w:t xml:space="preserve">etl.rechazo</w:t>
      </w:r>
      <w:r>
        <w:t xml:space="preserve"> con su motivo.</w:t>
      </w:r>
    </w:p>
    <w:p>
      <w:pPr>
        <w:pStyle w:val="ListParagraph"/>
        <w:numPr>
          <w:ilvl w:val="0"/>
          <w:numId w:val="2"/>
        </w:numPr>
        <w:spacing w:after="60"/>
      </w:pPr>
      <w:r>
        <w:t xml:space="preserve">Las fuentes tienen </w:t>
      </w:r>
      <w:r>
        <w:rPr>
          <w:b/>
          <w:bCs/>
        </w:rPr>
        <w:t xml:space="preserve">problemas de calidad deliberados y relevantes</w:t>
      </w:r>
      <w:r>
        <w:t xml:space="preserve">: el 25 % de los IDs de crédito vienen con texto basura, el 22 % de las gestiones están duplicadas y las categorías aparecen escritas de cientos de formas.</w:t>
      </w:r>
    </w:p>
    <w:p>
      <w:pPr>
        <w:pStyle w:val="ListParagraph"/>
        <w:numPr>
          <w:ilvl w:val="0"/>
          <w:numId w:val="2"/>
        </w:numPr>
        <w:spacing w:after="60"/>
      </w:pPr>
      <w:r>
        <w:rPr>
          <w:b/>
          <w:bCs/>
        </w:rPr>
        <w:t xml:space="preserve">El cuello de botella de la cobranza no es la negociación, es el cumplimiento.</w:t>
      </w:r>
      <w:r>
        <w:t xml:space="preserve"> El 54,5 % de los contactos directos termina en promesa, pero solo el 34,5 % de las promesas vencidas se cumple. Medido en dinero, solo se pagó el </w:t>
      </w:r>
      <w:r>
        <w:rPr>
          <w:b/>
          <w:bCs/>
        </w:rPr>
        <w:t xml:space="preserve">11 %</w:t>
      </w:r>
      <w:r>
        <w:t xml:space="preserve"> del valor prometido.</w:t>
      </w:r>
    </w:p>
    <w:p>
      <w:pPr>
        <w:pStyle w:val="ListParagraph"/>
        <w:numPr>
          <w:ilvl w:val="0"/>
          <w:numId w:val="2"/>
        </w:numPr>
        <w:spacing w:after="60"/>
      </w:pPr>
      <w:r>
        <w:rPr>
          <w:b/>
          <w:bCs/>
        </w:rPr>
        <w:t xml:space="preserve">La hora de la llamada importa más que el volumen.</w:t>
      </w:r>
      <w:r>
        <w:t xml:space="preserve"> La contactabilidad es del 32 % a las 8 a. m. y del 2 % a las 6 p. m., pero el mayor volumen de llamadas se concentra entre las 10 a. m. y el mediodía, cuando contesta menos del 9 %.</w:t>
      </w:r>
    </w:p>
    <w:p>
      <w:pPr>
        <w:pStyle w:val="ListParagraph"/>
        <w:numPr>
          <w:ilvl w:val="0"/>
          <w:numId w:val="2"/>
        </w:numPr>
        <w:spacing w:after="60"/>
      </w:pPr>
      <w:r>
        <w:rPr>
          <w:b/>
          <w:bCs/>
        </w:rPr>
        <w:t xml:space="preserve">La cobertura es baja y no está priorizada.</w:t>
      </w:r>
      <w:r>
        <w:t xml:space="preserve"> Solo el 10,3 % de la cartera recibe gestión, y ese porcentaje es prácticamente el mismo para un crédito al día que para uno con más de 360 días de mora.</w:t>
      </w:r>
    </w:p>
    <w:p>
      <w:pPr>
        <w:pStyle w:val="Heading1"/>
      </w:pPr>
      <w:r>
        <w:t xml:space="preserve">2. Calidad de los datos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20"/>
        <w:gridCol w:w="3120"/>
        <w:gridCol w:w="3120"/>
      </w:tblGrid>
      <w:tr>
        <w:trPr>
          <w:cantSplit/>
          <w:tblHeader/>
        </w:trPr>
        <w:tc>
          <w:tcPr>
            <w:tcW w:type="dxa" w:w="312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Hallazgo</w:t>
            </w:r>
          </w:p>
        </w:tc>
        <w:tc>
          <w:tcPr>
            <w:tcW w:type="dxa" w:w="312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Magnitud</w:t>
            </w:r>
          </w:p>
        </w:tc>
        <w:tc>
          <w:tcPr>
            <w:tcW w:type="dxa" w:w="312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Tratamiento aplicado</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ID de crédito con prefijos y sufijos basura (</w:t>
            </w:r>
            <w:r>
              <w:rPr>
                <w:rFonts w:ascii="Consolas" w:cs="Consolas" w:eastAsia="Consolas" w:hAnsi="Consolas"/>
                <w:color w:val="1F4E79"/>
                <w:sz w:val="19"/>
                <w:szCs w:val="19"/>
              </w:rPr>
              <w:t xml:space="preserve">OP-1685153-A</w:t>
            </w:r>
            <w:r>
              <w:rPr>
                <w:sz w:val="19"/>
                <w:szCs w:val="19"/>
              </w:rPr>
              <w:t xml:space="preserve">, </w:t>
            </w:r>
            <w:r>
              <w:rPr>
                <w:rFonts w:ascii="Consolas" w:cs="Consolas" w:eastAsia="Consolas" w:hAnsi="Consolas"/>
                <w:color w:val="1F4E79"/>
                <w:sz w:val="19"/>
                <w:szCs w:val="19"/>
              </w:rPr>
              <w:t xml:space="preserve">C_1135300_OK</w:t>
            </w:r>
            <w:r>
              <w:rPr>
                <w:sz w:val="19"/>
                <w:szCs w:val="19"/>
              </w:rPr>
              <w:t xml:space="preserve">, </w:t>
            </w:r>
            <w:r>
              <w:rPr>
                <w:rFonts w:ascii="Consolas" w:cs="Consolas" w:eastAsia="Consolas" w:hAnsi="Consolas"/>
                <w:color w:val="1F4E79"/>
                <w:sz w:val="19"/>
                <w:szCs w:val="19"/>
              </w:rPr>
              <w:t xml:space="preserve">CTO1323881X</w:t>
            </w:r>
            <w:r>
              <w:rPr>
                <w:sz w:val="19"/>
                <w:szCs w:val="19"/>
              </w:rPr>
              <w:t xml:space="preserve">)</w:t>
            </w:r>
          </w:p>
        </w:tc>
        <w:tc>
          <w:tcPr>
            <w:tcW w:type="dxa" w:w="3120"/>
            <w:tcMar>
              <w:top w:type="dxa" w:w="60"/>
              <w:left w:type="dxa" w:w="100"/>
              <w:bottom w:type="dxa" w:w="60"/>
              <w:right w:type="dxa" w:w="100"/>
            </w:tcMar>
          </w:tcPr>
          <w:p>
            <w:pPr>
              <w:keepNext/>
              <w:spacing w:after="0" w:before="0"/>
              <w:jc w:val="left"/>
            </w:pPr>
            <w:r>
              <w:rPr>
                <w:sz w:val="19"/>
                <w:szCs w:val="19"/>
              </w:rPr>
              <w:t xml:space="preserve">~25 % de las filas de Recaudo, Comité y Gestiones; 35 patrones distintos</w:t>
            </w:r>
          </w:p>
        </w:tc>
        <w:tc>
          <w:tcPr>
            <w:tcW w:type="dxa" w:w="3120"/>
            <w:tcMar>
              <w:top w:type="dxa" w:w="60"/>
              <w:left w:type="dxa" w:w="100"/>
              <w:bottom w:type="dxa" w:w="60"/>
              <w:right w:type="dxa" w:w="100"/>
            </w:tcMar>
          </w:tcPr>
          <w:p>
            <w:pPr>
              <w:keepNext/>
              <w:spacing w:after="0" w:before="0"/>
              <w:jc w:val="left"/>
            </w:pPr>
            <w:r>
              <w:rPr>
                <w:sz w:val="19"/>
                <w:szCs w:val="19"/>
              </w:rPr>
              <w:t xml:space="preserve">Se extrae el único bloque numérico como llave (</w:t>
            </w:r>
            <w:r>
              <w:rPr>
                <w:rFonts w:ascii="Consolas" w:cs="Consolas" w:eastAsia="Consolas" w:hAnsi="Consolas"/>
                <w:color w:val="1F4E79"/>
                <w:sz w:val="19"/>
                <w:szCs w:val="19"/>
              </w:rPr>
              <w:t xml:space="preserve">credito_id</w:t>
            </w:r>
            <w:r>
              <w:rPr>
                <w:sz w:val="19"/>
                <w:szCs w:val="19"/>
              </w:rPr>
              <w:t xml:space="preserve">) y se conserva el código original para trazabilidad</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Categorías escritas de muchas formas (</w:t>
            </w:r>
            <w:r>
              <w:rPr>
                <w:rFonts w:ascii="Consolas" w:cs="Consolas" w:eastAsia="Consolas" w:hAnsi="Consolas"/>
                <w:color w:val="1F4E79"/>
                <w:sz w:val="19"/>
                <w:szCs w:val="19"/>
              </w:rPr>
              <w:t xml:space="preserve">'Sin-Contacto.'</w:t>
            </w:r>
            <w:r>
              <w:rPr>
                <w:sz w:val="19"/>
                <w:szCs w:val="19"/>
              </w:rPr>
              <w:t xml:space="preserve">, </w:t>
            </w:r>
            <w:r>
              <w:rPr>
                <w:rFonts w:ascii="Consolas" w:cs="Consolas" w:eastAsia="Consolas" w:hAnsi="Consolas"/>
                <w:color w:val="1F4E79"/>
                <w:sz w:val="19"/>
                <w:szCs w:val="19"/>
              </w:rPr>
              <w:t xml:space="preserve">' #Sin Contacto '</w:t>
            </w:r>
            <w:r>
              <w:rPr>
                <w:sz w:val="19"/>
                <w:szCs w:val="19"/>
              </w:rPr>
              <w:t xml:space="preserve">, </w:t>
            </w:r>
            <w:r>
              <w:rPr>
                <w:rFonts w:ascii="Consolas" w:cs="Consolas" w:eastAsia="Consolas" w:hAnsi="Consolas"/>
                <w:color w:val="1F4E79"/>
                <w:sz w:val="19"/>
                <w:szCs w:val="19"/>
              </w:rPr>
              <w:t xml:space="preserve">'banco bogota_'</w:t>
            </w:r>
            <w:r>
              <w:rPr>
                <w:sz w:val="19"/>
                <w:szCs w:val="19"/>
              </w:rPr>
              <w:t xml:space="preserve">, </w:t>
            </w:r>
            <w:r>
              <w:rPr>
                <w:rFonts w:ascii="Consolas" w:cs="Consolas" w:eastAsia="Consolas" w:hAnsi="Consolas"/>
                <w:color w:val="1F4E79"/>
                <w:sz w:val="19"/>
                <w:szCs w:val="19"/>
              </w:rPr>
              <w:t xml:space="preserve">'Normal*'</w:t>
            </w:r>
            <w:r>
              <w:rPr>
                <w:sz w:val="19"/>
                <w:szCs w:val="19"/>
              </w:rPr>
              <w:t xml:space="preserve">)</w:t>
            </w:r>
          </w:p>
        </w:tc>
        <w:tc>
          <w:tcPr>
            <w:tcW w:type="dxa" w:w="3120"/>
            <w:tcMar>
              <w:top w:type="dxa" w:w="60"/>
              <w:left w:type="dxa" w:w="100"/>
              <w:bottom w:type="dxa" w:w="60"/>
              <w:right w:type="dxa" w:w="100"/>
            </w:tcMar>
          </w:tcPr>
          <w:p>
            <w:pPr>
              <w:keepNext/>
              <w:spacing w:after="0" w:before="0"/>
              <w:jc w:val="left"/>
            </w:pPr>
            <w:r>
              <w:rPr>
                <w:sz w:val="19"/>
                <w:szCs w:val="19"/>
              </w:rPr>
              <w:t xml:space="preserve">1.032 variantes de tipificación, 893 de origen de pago y 492 de estado de cartera</w:t>
            </w:r>
          </w:p>
        </w:tc>
        <w:tc>
          <w:tcPr>
            <w:tcW w:type="dxa" w:w="3120"/>
            <w:tcMar>
              <w:top w:type="dxa" w:w="60"/>
              <w:left w:type="dxa" w:w="100"/>
              <w:bottom w:type="dxa" w:w="60"/>
              <w:right w:type="dxa" w:w="100"/>
            </w:tcMar>
          </w:tcPr>
          <w:p>
            <w:pPr>
              <w:keepNext/>
              <w:spacing w:after="0" w:before="0"/>
              <w:jc w:val="left"/>
            </w:pPr>
            <w:r>
              <w:rPr>
                <w:sz w:val="19"/>
                <w:szCs w:val="19"/>
              </w:rPr>
              <w:t xml:space="preserve">Normalización (minúsculas, sin tildes ni símbolos) y homologación a catálogos cerrados: 25, 16 y 10 valores</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Gestiones duplicadas</w:t>
            </w:r>
          </w:p>
        </w:tc>
        <w:tc>
          <w:tcPr>
            <w:tcW w:type="dxa" w:w="3120"/>
            <w:tcMar>
              <w:top w:type="dxa" w:w="60"/>
              <w:left w:type="dxa" w:w="100"/>
              <w:bottom w:type="dxa" w:w="60"/>
              <w:right w:type="dxa" w:w="100"/>
            </w:tcMar>
          </w:tcPr>
          <w:p>
            <w:pPr>
              <w:keepNext/>
              <w:spacing w:after="0" w:before="0"/>
              <w:jc w:val="left"/>
            </w:pPr>
            <w:r>
              <w:rPr>
                <w:sz w:val="19"/>
                <w:szCs w:val="19"/>
              </w:rPr>
              <w:t xml:space="preserve">19.673 de 89.485 (22 %), detectadas después de homologar la tipificación</w:t>
            </w:r>
          </w:p>
        </w:tc>
        <w:tc>
          <w:tcPr>
            <w:tcW w:type="dxa" w:w="3120"/>
            <w:tcMar>
              <w:top w:type="dxa" w:w="60"/>
              <w:left w:type="dxa" w:w="100"/>
              <w:bottom w:type="dxa" w:w="60"/>
              <w:right w:type="dxa" w:w="100"/>
            </w:tcMar>
          </w:tcPr>
          <w:p>
            <w:pPr>
              <w:keepNext/>
              <w:spacing w:after="0" w:before="0"/>
              <w:jc w:val="left"/>
            </w:pPr>
            <w:r>
              <w:rPr>
                <w:sz w:val="19"/>
                <w:szCs w:val="19"/>
              </w:rPr>
              <w:t xml:space="preserve">Se eliminan; así no inflan el volumen ni la intensidad de gestión</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Pagos duplicados exactos</w:t>
            </w:r>
          </w:p>
        </w:tc>
        <w:tc>
          <w:tcPr>
            <w:tcW w:type="dxa" w:w="3120"/>
            <w:tcMar>
              <w:top w:type="dxa" w:w="60"/>
              <w:left w:type="dxa" w:w="100"/>
              <w:bottom w:type="dxa" w:w="60"/>
              <w:right w:type="dxa" w:w="100"/>
            </w:tcMar>
          </w:tcPr>
          <w:p>
            <w:pPr>
              <w:keepNext/>
              <w:spacing w:after="0" w:before="0"/>
              <w:jc w:val="left"/>
            </w:pPr>
            <w:r>
              <w:rPr>
                <w:sz w:val="19"/>
                <w:szCs w:val="19"/>
              </w:rPr>
              <w:t xml:space="preserve">468 de 74.966</w:t>
            </w:r>
          </w:p>
        </w:tc>
        <w:tc>
          <w:tcPr>
            <w:tcW w:type="dxa" w:w="3120"/>
            <w:tcMar>
              <w:top w:type="dxa" w:w="60"/>
              <w:left w:type="dxa" w:w="100"/>
              <w:bottom w:type="dxa" w:w="60"/>
              <w:right w:type="dxa" w:w="100"/>
            </w:tcMar>
          </w:tcPr>
          <w:p>
            <w:pPr>
              <w:keepNext/>
              <w:spacing w:after="0" w:before="0"/>
              <w:jc w:val="left"/>
            </w:pPr>
            <w:r>
              <w:rPr>
                <w:sz w:val="19"/>
                <w:szCs w:val="19"/>
              </w:rPr>
              <w:t xml:space="preserve">Se eliminan; la fuente no trae un ID de transacción</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Mismo crédito y mes repetido en Comité al normalizar el ID</w:t>
            </w:r>
          </w:p>
        </w:tc>
        <w:tc>
          <w:tcPr>
            <w:tcW w:type="dxa" w:w="3120"/>
            <w:tcMar>
              <w:top w:type="dxa" w:w="60"/>
              <w:left w:type="dxa" w:w="100"/>
              <w:bottom w:type="dxa" w:w="60"/>
              <w:right w:type="dxa" w:w="100"/>
            </w:tcMar>
          </w:tcPr>
          <w:p>
            <w:pPr>
              <w:keepNext/>
              <w:spacing w:after="0" w:before="0"/>
              <w:jc w:val="left"/>
            </w:pPr>
            <w:r>
              <w:rPr>
                <w:sz w:val="19"/>
                <w:szCs w:val="19"/>
              </w:rPr>
              <w:t xml:space="preserve">240</w:t>
            </w:r>
          </w:p>
        </w:tc>
        <w:tc>
          <w:tcPr>
            <w:tcW w:type="dxa" w:w="3120"/>
            <w:tcMar>
              <w:top w:type="dxa" w:w="60"/>
              <w:left w:type="dxa" w:w="100"/>
              <w:bottom w:type="dxa" w:w="60"/>
              <w:right w:type="dxa" w:w="100"/>
            </w:tcMar>
          </w:tcPr>
          <w:p>
            <w:pPr>
              <w:keepNext/>
              <w:spacing w:after="0" w:before="0"/>
              <w:jc w:val="left"/>
            </w:pPr>
            <w:r>
              <w:rPr>
                <w:sz w:val="19"/>
                <w:szCs w:val="19"/>
              </w:rPr>
              <w:t xml:space="preserve">Se conserva la foto de mayor mora (criterio conservador)</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Días de mora = 999</w:t>
            </w:r>
          </w:p>
        </w:tc>
        <w:tc>
          <w:tcPr>
            <w:tcW w:type="dxa" w:w="3120"/>
            <w:tcMar>
              <w:top w:type="dxa" w:w="60"/>
              <w:left w:type="dxa" w:w="100"/>
              <w:bottom w:type="dxa" w:w="60"/>
              <w:right w:type="dxa" w:w="100"/>
            </w:tcMar>
          </w:tcPr>
          <w:p>
            <w:pPr>
              <w:keepNext/>
              <w:spacing w:after="0" w:before="0"/>
              <w:jc w:val="left"/>
            </w:pPr>
            <w:r>
              <w:rPr>
                <w:sz w:val="19"/>
                <w:szCs w:val="19"/>
              </w:rPr>
              <w:t xml:space="preserve">1.711 registros, el 91 % en estado Judicial</w:t>
            </w:r>
          </w:p>
        </w:tc>
        <w:tc>
          <w:tcPr>
            <w:tcW w:type="dxa" w:w="3120"/>
            <w:tcMar>
              <w:top w:type="dxa" w:w="60"/>
              <w:left w:type="dxa" w:w="100"/>
              <w:bottom w:type="dxa" w:w="60"/>
              <w:right w:type="dxa" w:w="100"/>
            </w:tcMar>
          </w:tcPr>
          <w:p>
            <w:pPr>
              <w:keepNext/>
              <w:spacing w:after="0" w:before="0"/>
              <w:jc w:val="left"/>
            </w:pPr>
            <w:r>
              <w:rPr>
                <w:sz w:val="19"/>
                <w:szCs w:val="19"/>
              </w:rPr>
              <w:t xml:space="preserve">Se marca como valor centinela y se deja en un tramo propio ("Sin dato (999)"); en la Parte 2 no cuenta como mora +60</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Estado de cartera </w:t>
            </w:r>
            <w:r>
              <w:rPr>
                <w:rFonts w:ascii="Consolas" w:cs="Consolas" w:eastAsia="Consolas" w:hAnsi="Consolas"/>
                <w:color w:val="1F4E79"/>
                <w:sz w:val="19"/>
                <w:szCs w:val="19"/>
              </w:rPr>
              <w:t xml:space="preserve">'0'</w:t>
            </w:r>
            <w:r>
              <w:rPr>
                <w:sz w:val="19"/>
                <w:szCs w:val="19"/>
              </w:rPr>
              <w:t xml:space="preserve">, tasa nominal 0, cuotas pagadas negativas</w:t>
            </w:r>
          </w:p>
        </w:tc>
        <w:tc>
          <w:tcPr>
            <w:tcW w:type="dxa" w:w="3120"/>
            <w:tcMar>
              <w:top w:type="dxa" w:w="60"/>
              <w:left w:type="dxa" w:w="100"/>
              <w:bottom w:type="dxa" w:w="60"/>
              <w:right w:type="dxa" w:w="100"/>
            </w:tcMar>
          </w:tcPr>
          <w:p>
            <w:pPr>
              <w:keepNext/>
              <w:spacing w:after="0" w:before="0"/>
              <w:jc w:val="left"/>
            </w:pPr>
            <w:r>
              <w:rPr>
                <w:sz w:val="19"/>
                <w:szCs w:val="19"/>
              </w:rPr>
              <w:t xml:space="preserve">148 / 16 / 9</w:t>
            </w:r>
          </w:p>
        </w:tc>
        <w:tc>
          <w:tcPr>
            <w:tcW w:type="dxa" w:w="3120"/>
            <w:tcMar>
              <w:top w:type="dxa" w:w="60"/>
              <w:left w:type="dxa" w:w="100"/>
              <w:bottom w:type="dxa" w:w="60"/>
              <w:right w:type="dxa" w:w="100"/>
            </w:tcMar>
          </w:tcPr>
          <w:p>
            <w:pPr>
              <w:keepNext/>
              <w:spacing w:after="0" w:before="0"/>
              <w:jc w:val="left"/>
            </w:pPr>
            <w:r>
              <w:rPr>
                <w:sz w:val="19"/>
                <w:szCs w:val="19"/>
              </w:rPr>
              <w:t xml:space="preserve">"Sin información" / NULL / NULL</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Orígenes de pago que no son recaudo (Ajuste, Otros, Otros sin información)</w:t>
            </w:r>
          </w:p>
        </w:tc>
        <w:tc>
          <w:tcPr>
            <w:tcW w:type="dxa" w:w="3120"/>
            <w:tcMar>
              <w:top w:type="dxa" w:w="60"/>
              <w:left w:type="dxa" w:w="100"/>
              <w:bottom w:type="dxa" w:w="60"/>
              <w:right w:type="dxa" w:w="100"/>
            </w:tcMar>
          </w:tcPr>
          <w:p>
            <w:pPr>
              <w:keepNext/>
              <w:spacing w:after="0" w:before="0"/>
              <w:jc w:val="left"/>
            </w:pPr>
            <w:r>
              <w:rPr>
                <w:sz w:val="19"/>
                <w:szCs w:val="19"/>
              </w:rPr>
              <w:t xml:space="preserve">49 pagos por $158 M</w:t>
            </w:r>
          </w:p>
        </w:tc>
        <w:tc>
          <w:tcPr>
            <w:tcW w:type="dxa" w:w="3120"/>
            <w:tcMar>
              <w:top w:type="dxa" w:w="60"/>
              <w:left w:type="dxa" w:w="100"/>
              <w:bottom w:type="dxa" w:w="60"/>
              <w:right w:type="dxa" w:w="100"/>
            </w:tcMar>
          </w:tcPr>
          <w:p>
            <w:pPr>
              <w:keepNext/>
              <w:spacing w:after="0" w:before="0"/>
              <w:jc w:val="left"/>
            </w:pPr>
            <w:r>
              <w:rPr>
                <w:sz w:val="19"/>
                <w:szCs w:val="19"/>
              </w:rPr>
              <w:t xml:space="preserve">Se marcan como no efectivos y se excluyen del recaudo, como indica la hoja Recaudo</w:t>
            </w:r>
          </w:p>
        </w:tc>
      </w:tr>
      <w:tr>
        <w:trPr>
          <w:cantSplit/>
          <w:tblHeader w:val="off"/>
        </w:trPr>
        <w:tc>
          <w:tcPr>
            <w:tcW w:type="dxa" w:w="3120"/>
            <w:tcMar>
              <w:top w:type="dxa" w:w="60"/>
              <w:left w:type="dxa" w:w="100"/>
              <w:bottom w:type="dxa" w:w="60"/>
              <w:right w:type="dxa" w:w="100"/>
            </w:tcMar>
          </w:tcPr>
          <w:p>
            <w:pPr>
              <w:keepNext w:val="false"/>
              <w:spacing w:after="0" w:before="0"/>
              <w:jc w:val="left"/>
            </w:pPr>
            <w:r>
              <w:rPr>
                <w:sz w:val="19"/>
                <w:szCs w:val="19"/>
              </w:rPr>
              <w:t xml:space="preserve">Reversiones (valores negativos)</w:t>
            </w:r>
          </w:p>
        </w:tc>
        <w:tc>
          <w:tcPr>
            <w:tcW w:type="dxa" w:w="3120"/>
            <w:tcMar>
              <w:top w:type="dxa" w:w="60"/>
              <w:left w:type="dxa" w:w="100"/>
              <w:bottom w:type="dxa" w:w="60"/>
              <w:right w:type="dxa" w:w="100"/>
            </w:tcMar>
          </w:tcPr>
          <w:p>
            <w:pPr>
              <w:keepNext w:val="false"/>
              <w:spacing w:after="0" w:before="0"/>
              <w:jc w:val="left"/>
            </w:pPr>
            <w:r>
              <w:rPr>
                <w:sz w:val="19"/>
                <w:szCs w:val="19"/>
              </w:rPr>
              <w:t xml:space="preserve">3.936 por –$14.149 M (6,5 % del recaudo bruto)</w:t>
            </w:r>
          </w:p>
        </w:tc>
        <w:tc>
          <w:tcPr>
            <w:tcW w:type="dxa" w:w="3120"/>
            <w:tcMar>
              <w:top w:type="dxa" w:w="60"/>
              <w:left w:type="dxa" w:w="100"/>
              <w:bottom w:type="dxa" w:w="60"/>
              <w:right w:type="dxa" w:w="100"/>
            </w:tcMar>
          </w:tcPr>
          <w:p>
            <w:pPr>
              <w:keepNext w:val="false"/>
              <w:spacing w:after="0" w:before="0"/>
              <w:jc w:val="left"/>
            </w:pPr>
            <w:r>
              <w:rPr>
                <w:sz w:val="19"/>
                <w:szCs w:val="19"/>
              </w:rPr>
              <w:t xml:space="preserve">Se conservan para que el recaudo quede neto</w:t>
            </w:r>
          </w:p>
        </w:tc>
      </w:tr>
    </w:tbl>
    <w:p>
      <w:pPr>
        <w:spacing w:after="80"/>
      </w:pPr>
    </w:p>
    <w:p>
      <w:pPr>
        <w:pStyle w:val="Heading1"/>
      </w:pPr>
      <w:r>
        <w:t xml:space="preserve">3. Hallazgos de negocio</w:t>
      </w:r>
    </w:p>
    <w:p>
      <w:pPr>
        <w:pStyle w:val="Heading2"/>
      </w:pPr>
      <w:r>
        <w:t xml:space="preserve">3.1 Embudo de gestión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56"/>
        <w:gridCol w:w="772"/>
        <w:gridCol w:w="4632"/>
      </w:tblGrid>
      <w:tr>
        <w:trPr>
          <w:cantSplit/>
          <w:tblHeader/>
        </w:trPr>
        <w:tc>
          <w:tcPr>
            <w:tcW w:type="dxa" w:w="3956"/>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Etapa</w:t>
            </w:r>
          </w:p>
        </w:tc>
        <w:tc>
          <w:tcPr>
            <w:tcW w:type="dxa" w:w="772"/>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Valor</w:t>
            </w:r>
          </w:p>
        </w:tc>
        <w:tc>
          <w:tcPr>
            <w:tcW w:type="dxa" w:w="4632"/>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Lectura</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Intentos de contacto telefónico</w:t>
            </w:r>
          </w:p>
        </w:tc>
        <w:tc>
          <w:tcPr>
            <w:tcW w:type="dxa" w:w="772"/>
            <w:tcMar>
              <w:top w:type="dxa" w:w="60"/>
              <w:left w:type="dxa" w:w="100"/>
              <w:bottom w:type="dxa" w:w="60"/>
              <w:right w:type="dxa" w:w="100"/>
            </w:tcMar>
          </w:tcPr>
          <w:p>
            <w:pPr>
              <w:keepNext/>
              <w:spacing w:after="0" w:before="0"/>
              <w:jc w:val="right"/>
            </w:pPr>
            <w:r>
              <w:rPr>
                <w:sz w:val="19"/>
                <w:szCs w:val="19"/>
              </w:rPr>
              <w:t xml:space="preserve">33.156</w:t>
            </w:r>
          </w:p>
        </w:tc>
        <w:tc>
          <w:tcPr>
            <w:tcW w:type="dxa" w:w="4632"/>
            <w:tcMar>
              <w:top w:type="dxa" w:w="60"/>
              <w:left w:type="dxa" w:w="100"/>
              <w:bottom w:type="dxa" w:w="60"/>
              <w:right w:type="dxa" w:w="100"/>
            </w:tcMar>
          </w:tcPr>
          <w:p>
            <w:pPr>
              <w:keepNext/>
              <w:spacing w:after="0" w:before="0"/>
              <w:jc w:val="left"/>
            </w:pPr>
            <w:r>
              <w:rPr>
                <w:sz w:val="19"/>
                <w:szCs w:val="19"/>
              </w:rPr>
              <w:t xml:space="preserve">Base de la contactabilidad</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Tasa de contactabilidad</w:t>
            </w:r>
          </w:p>
        </w:tc>
        <w:tc>
          <w:tcPr>
            <w:tcW w:type="dxa" w:w="772"/>
            <w:tcMar>
              <w:top w:type="dxa" w:w="60"/>
              <w:left w:type="dxa" w:w="100"/>
              <w:bottom w:type="dxa" w:w="60"/>
              <w:right w:type="dxa" w:w="100"/>
            </w:tcMar>
          </w:tcPr>
          <w:p>
            <w:pPr>
              <w:keepNext/>
              <w:spacing w:after="0" w:before="0"/>
              <w:jc w:val="right"/>
            </w:pPr>
            <w:r>
              <w:rPr>
                <w:sz w:val="19"/>
                <w:szCs w:val="19"/>
              </w:rPr>
              <w:t xml:space="preserve">9,4 %</w:t>
            </w:r>
          </w:p>
        </w:tc>
        <w:tc>
          <w:tcPr>
            <w:tcW w:type="dxa" w:w="4632"/>
            <w:tcMar>
              <w:top w:type="dxa" w:w="60"/>
              <w:left w:type="dxa" w:w="100"/>
              <w:bottom w:type="dxa" w:w="60"/>
              <w:right w:type="dxa" w:w="100"/>
            </w:tcMar>
          </w:tcPr>
          <w:p>
            <w:pPr>
              <w:keepNext/>
              <w:spacing w:after="0" w:before="0"/>
              <w:jc w:val="left"/>
            </w:pPr>
            <w:r>
              <w:rPr>
                <w:sz w:val="19"/>
                <w:szCs w:val="19"/>
              </w:rPr>
              <w:t xml:space="preserve">9 de cada 100 llamadas logran hablar con alguien</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Tasa de contacto directo (titular)</w:t>
            </w:r>
          </w:p>
        </w:tc>
        <w:tc>
          <w:tcPr>
            <w:tcW w:type="dxa" w:w="772"/>
            <w:tcMar>
              <w:top w:type="dxa" w:w="60"/>
              <w:left w:type="dxa" w:w="100"/>
              <w:bottom w:type="dxa" w:w="60"/>
              <w:right w:type="dxa" w:w="100"/>
            </w:tcMar>
          </w:tcPr>
          <w:p>
            <w:pPr>
              <w:keepNext/>
              <w:spacing w:after="0" w:before="0"/>
              <w:jc w:val="right"/>
            </w:pPr>
            <w:r>
              <w:rPr>
                <w:sz w:val="19"/>
                <w:szCs w:val="19"/>
              </w:rPr>
              <w:t xml:space="preserve">7,8 %</w:t>
            </w:r>
          </w:p>
        </w:tc>
        <w:tc>
          <w:tcPr>
            <w:tcW w:type="dxa" w:w="4632"/>
            <w:tcMar>
              <w:top w:type="dxa" w:w="60"/>
              <w:left w:type="dxa" w:w="100"/>
              <w:bottom w:type="dxa" w:w="60"/>
              <w:right w:type="dxa" w:w="100"/>
            </w:tcMar>
          </w:tcPr>
          <w:p>
            <w:pPr>
              <w:keepNext/>
              <w:spacing w:after="0" w:before="0"/>
              <w:jc w:val="left"/>
            </w:pPr>
            <w:r>
              <w:rPr>
                <w:sz w:val="19"/>
                <w:szCs w:val="19"/>
              </w:rPr>
              <w:t xml:space="preserve">Techo real de la negociación</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Tasa PTP (promesas / contactos directos)</w:t>
            </w:r>
          </w:p>
        </w:tc>
        <w:tc>
          <w:tcPr>
            <w:tcW w:type="dxa" w:w="772"/>
            <w:tcMar>
              <w:top w:type="dxa" w:w="60"/>
              <w:left w:type="dxa" w:w="100"/>
              <w:bottom w:type="dxa" w:w="60"/>
              <w:right w:type="dxa" w:w="100"/>
            </w:tcMar>
          </w:tcPr>
          <w:p>
            <w:pPr>
              <w:keepNext/>
              <w:spacing w:after="0" w:before="0"/>
              <w:jc w:val="right"/>
            </w:pPr>
            <w:r>
              <w:rPr>
                <w:sz w:val="19"/>
                <w:szCs w:val="19"/>
              </w:rPr>
              <w:t xml:space="preserve">54,5 %</w:t>
            </w:r>
          </w:p>
        </w:tc>
        <w:tc>
          <w:tcPr>
            <w:tcW w:type="dxa" w:w="4632"/>
            <w:tcMar>
              <w:top w:type="dxa" w:w="60"/>
              <w:left w:type="dxa" w:w="100"/>
              <w:bottom w:type="dxa" w:w="60"/>
              <w:right w:type="dxa" w:w="100"/>
            </w:tcMar>
          </w:tcPr>
          <w:p>
            <w:pPr>
              <w:keepNext/>
              <w:spacing w:after="0" w:before="0"/>
              <w:jc w:val="left"/>
            </w:pPr>
            <w:r>
              <w:rPr>
                <w:sz w:val="19"/>
                <w:szCs w:val="19"/>
              </w:rPr>
              <w:t xml:space="preserve">La negociación funciona bien</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Kept rate (promesas cumplidas / vencidas)</w:t>
            </w:r>
          </w:p>
        </w:tc>
        <w:tc>
          <w:tcPr>
            <w:tcW w:type="dxa" w:w="772"/>
            <w:tcMar>
              <w:top w:type="dxa" w:w="60"/>
              <w:left w:type="dxa" w:w="100"/>
              <w:bottom w:type="dxa" w:w="60"/>
              <w:right w:type="dxa" w:w="100"/>
            </w:tcMar>
          </w:tcPr>
          <w:p>
            <w:pPr>
              <w:keepNext/>
              <w:spacing w:after="0" w:before="0"/>
              <w:jc w:val="right"/>
            </w:pPr>
            <w:r>
              <w:rPr>
                <w:sz w:val="19"/>
                <w:szCs w:val="19"/>
              </w:rPr>
              <w:t xml:space="preserve">34,5 %</w:t>
            </w:r>
          </w:p>
        </w:tc>
        <w:tc>
          <w:tcPr>
            <w:tcW w:type="dxa" w:w="4632"/>
            <w:tcMar>
              <w:top w:type="dxa" w:w="60"/>
              <w:left w:type="dxa" w:w="100"/>
              <w:bottom w:type="dxa" w:w="60"/>
              <w:right w:type="dxa" w:w="100"/>
            </w:tcMar>
          </w:tcPr>
          <w:p>
            <w:pPr>
              <w:keepNext/>
              <w:spacing w:after="0" w:before="0"/>
              <w:jc w:val="left"/>
            </w:pPr>
            <w:r>
              <w:rPr>
                <w:b/>
                <w:bCs/>
                <w:sz w:val="19"/>
                <w:szCs w:val="19"/>
              </w:rPr>
              <w:t xml:space="preserve">Aquí se pierde la mayor parte del valor</w:t>
            </w:r>
          </w:p>
        </w:tc>
      </w:tr>
      <w:tr>
        <w:trPr>
          <w:cantSplit/>
          <w:tblHeader w:val="off"/>
        </w:trPr>
        <w:tc>
          <w:tcPr>
            <w:tcW w:type="dxa" w:w="3956"/>
            <w:tcMar>
              <w:top w:type="dxa" w:w="60"/>
              <w:left w:type="dxa" w:w="100"/>
              <w:bottom w:type="dxa" w:w="60"/>
              <w:right w:type="dxa" w:w="100"/>
            </w:tcMar>
          </w:tcPr>
          <w:p>
            <w:pPr>
              <w:keepNext w:val="false"/>
              <w:spacing w:after="0" w:before="0"/>
              <w:jc w:val="left"/>
            </w:pPr>
            <w:r>
              <w:rPr>
                <w:sz w:val="19"/>
                <w:szCs w:val="19"/>
              </w:rPr>
              <w:t xml:space="preserve">Monto cumplido / monto prometido</w:t>
            </w:r>
          </w:p>
        </w:tc>
        <w:tc>
          <w:tcPr>
            <w:tcW w:type="dxa" w:w="772"/>
            <w:tcMar>
              <w:top w:type="dxa" w:w="60"/>
              <w:left w:type="dxa" w:w="100"/>
              <w:bottom w:type="dxa" w:w="60"/>
              <w:right w:type="dxa" w:w="100"/>
            </w:tcMar>
          </w:tcPr>
          <w:p>
            <w:pPr>
              <w:keepNext w:val="false"/>
              <w:spacing w:after="0" w:before="0"/>
              <w:jc w:val="right"/>
            </w:pPr>
            <w:r>
              <w:rPr>
                <w:sz w:val="19"/>
                <w:szCs w:val="19"/>
              </w:rPr>
              <w:t xml:space="preserve">11,3 %</w:t>
            </w:r>
          </w:p>
        </w:tc>
        <w:tc>
          <w:tcPr>
            <w:tcW w:type="dxa" w:w="4632"/>
            <w:tcMar>
              <w:top w:type="dxa" w:w="60"/>
              <w:left w:type="dxa" w:w="100"/>
              <w:bottom w:type="dxa" w:w="60"/>
              <w:right w:type="dxa" w:w="100"/>
            </w:tcMar>
          </w:tcPr>
          <w:p>
            <w:pPr>
              <w:keepNext w:val="false"/>
              <w:spacing w:after="0" w:before="0"/>
              <w:jc w:val="left"/>
            </w:pPr>
            <w:r>
              <w:rPr>
                <w:sz w:val="19"/>
                <w:szCs w:val="19"/>
              </w:rPr>
              <w:t xml:space="preserve">Las promesas grandes casi no se cumplen</w:t>
            </w:r>
          </w:p>
        </w:tc>
      </w:tr>
    </w:tbl>
    <w:p>
      <w:pPr>
        <w:spacing w:after="80"/>
      </w:pPr>
    </w:p>
    <w:p>
      <w:pPr>
        <w:pStyle w:val="ListParagraph"/>
        <w:numPr>
          <w:ilvl w:val="0"/>
          <w:numId w:val="2"/>
        </w:numPr>
        <w:spacing w:after="60"/>
      </w:pPr>
      <w:r>
        <w:t xml:space="preserve">Los </w:t>
      </w:r>
      <w:r>
        <w:rPr>
          <w:b/>
          <w:bCs/>
        </w:rPr>
        <w:t xml:space="preserve">acuerdos de pago</w:t>
      </w:r>
      <w:r>
        <w:t xml:space="preserve"> formales se cumplen más (47 %) que las "promesas" (34 %) y las "posibilidades de pago" (34 %). Formalizar el compromiso mejora el cumplimiento.</w:t>
      </w:r>
    </w:p>
    <w:p>
      <w:pPr>
        <w:pStyle w:val="ListParagraph"/>
        <w:numPr>
          <w:ilvl w:val="0"/>
          <w:numId w:val="2"/>
        </w:numPr>
        <w:spacing w:after="60"/>
      </w:pPr>
      <w:r>
        <w:t xml:space="preserve">130 promesas no traen valor prometido. Así no se puede medir qué tan completo fue el pago.</w:t>
      </w:r>
    </w:p>
    <w:p>
      <w:pPr>
        <w:pStyle w:val="Heading2"/>
      </w:pPr>
      <w:r>
        <w:t xml:space="preserve">3.2 Franja horaria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109"/>
        <w:gridCol w:w="1826"/>
        <w:gridCol w:w="3425"/>
      </w:tblGrid>
      <w:tr>
        <w:trPr>
          <w:cantSplit/>
          <w:tblHeader/>
        </w:trPr>
        <w:tc>
          <w:tcPr>
            <w:tcW w:type="dxa" w:w="4109"/>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Hora</w:t>
            </w:r>
          </w:p>
        </w:tc>
        <w:tc>
          <w:tcPr>
            <w:tcW w:type="dxa" w:w="1826"/>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Intentos</w:t>
            </w:r>
          </w:p>
        </w:tc>
        <w:tc>
          <w:tcPr>
            <w:tcW w:type="dxa" w:w="3425"/>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Contactabilidad</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8 a. m.</w:t>
            </w:r>
          </w:p>
        </w:tc>
        <w:tc>
          <w:tcPr>
            <w:tcW w:type="dxa" w:w="1826"/>
            <w:tcMar>
              <w:top w:type="dxa" w:w="60"/>
              <w:left w:type="dxa" w:w="100"/>
              <w:bottom w:type="dxa" w:w="60"/>
              <w:right w:type="dxa" w:w="100"/>
            </w:tcMar>
          </w:tcPr>
          <w:p>
            <w:pPr>
              <w:keepNext/>
              <w:spacing w:after="0" w:before="0"/>
              <w:jc w:val="right"/>
            </w:pPr>
            <w:r>
              <w:rPr>
                <w:sz w:val="19"/>
                <w:szCs w:val="19"/>
              </w:rPr>
              <w:t xml:space="preserve">1.737</w:t>
            </w:r>
          </w:p>
        </w:tc>
        <w:tc>
          <w:tcPr>
            <w:tcW w:type="dxa" w:w="3425"/>
            <w:tcMar>
              <w:top w:type="dxa" w:w="60"/>
              <w:left w:type="dxa" w:w="100"/>
              <w:bottom w:type="dxa" w:w="60"/>
              <w:right w:type="dxa" w:w="100"/>
            </w:tcMar>
          </w:tcPr>
          <w:p>
            <w:pPr>
              <w:keepNext/>
              <w:spacing w:after="0" w:before="0"/>
              <w:jc w:val="right"/>
            </w:pPr>
            <w:r>
              <w:rPr>
                <w:sz w:val="19"/>
                <w:szCs w:val="19"/>
              </w:rPr>
              <w:t xml:space="preserve">31,8 %</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9 a. m.</w:t>
            </w:r>
          </w:p>
        </w:tc>
        <w:tc>
          <w:tcPr>
            <w:tcW w:type="dxa" w:w="1826"/>
            <w:tcMar>
              <w:top w:type="dxa" w:w="60"/>
              <w:left w:type="dxa" w:w="100"/>
              <w:bottom w:type="dxa" w:w="60"/>
              <w:right w:type="dxa" w:w="100"/>
            </w:tcMar>
          </w:tcPr>
          <w:p>
            <w:pPr>
              <w:keepNext/>
              <w:spacing w:after="0" w:before="0"/>
              <w:jc w:val="right"/>
            </w:pPr>
            <w:r>
              <w:rPr>
                <w:sz w:val="19"/>
                <w:szCs w:val="19"/>
              </w:rPr>
              <w:t xml:space="preserve">2.107</w:t>
            </w:r>
          </w:p>
        </w:tc>
        <w:tc>
          <w:tcPr>
            <w:tcW w:type="dxa" w:w="3425"/>
            <w:tcMar>
              <w:top w:type="dxa" w:w="60"/>
              <w:left w:type="dxa" w:w="100"/>
              <w:bottom w:type="dxa" w:w="60"/>
              <w:right w:type="dxa" w:w="100"/>
            </w:tcMar>
          </w:tcPr>
          <w:p>
            <w:pPr>
              <w:keepNext/>
              <w:spacing w:after="0" w:before="0"/>
              <w:jc w:val="right"/>
            </w:pPr>
            <w:r>
              <w:rPr>
                <w:sz w:val="19"/>
                <w:szCs w:val="19"/>
              </w:rPr>
              <w:t xml:space="preserve">19,2 %</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10 a. m. – 1 p. m.</w:t>
            </w:r>
          </w:p>
        </w:tc>
        <w:tc>
          <w:tcPr>
            <w:tcW w:type="dxa" w:w="1826"/>
            <w:tcMar>
              <w:top w:type="dxa" w:w="60"/>
              <w:left w:type="dxa" w:w="100"/>
              <w:bottom w:type="dxa" w:w="60"/>
              <w:right w:type="dxa" w:w="100"/>
            </w:tcMar>
          </w:tcPr>
          <w:p>
            <w:pPr>
              <w:keepNext/>
              <w:spacing w:after="0" w:before="0"/>
              <w:jc w:val="right"/>
            </w:pPr>
            <w:r>
              <w:rPr>
                <w:sz w:val="19"/>
                <w:szCs w:val="19"/>
              </w:rPr>
              <w:t xml:space="preserve">17.276</w:t>
            </w:r>
          </w:p>
        </w:tc>
        <w:tc>
          <w:tcPr>
            <w:tcW w:type="dxa" w:w="3425"/>
            <w:tcMar>
              <w:top w:type="dxa" w:w="60"/>
              <w:left w:type="dxa" w:w="100"/>
              <w:bottom w:type="dxa" w:w="60"/>
              <w:right w:type="dxa" w:w="100"/>
            </w:tcMar>
          </w:tcPr>
          <w:p>
            <w:pPr>
              <w:keepNext/>
              <w:spacing w:after="0" w:before="0"/>
              <w:jc w:val="right"/>
            </w:pPr>
            <w:r>
              <w:rPr>
                <w:sz w:val="19"/>
                <w:szCs w:val="19"/>
              </w:rPr>
              <w:t xml:space="preserve">5,6 % – 8,7 %</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2 p. m.</w:t>
            </w:r>
          </w:p>
        </w:tc>
        <w:tc>
          <w:tcPr>
            <w:tcW w:type="dxa" w:w="1826"/>
            <w:tcMar>
              <w:top w:type="dxa" w:w="60"/>
              <w:left w:type="dxa" w:w="100"/>
              <w:bottom w:type="dxa" w:w="60"/>
              <w:right w:type="dxa" w:w="100"/>
            </w:tcMar>
          </w:tcPr>
          <w:p>
            <w:pPr>
              <w:keepNext/>
              <w:spacing w:after="0" w:before="0"/>
              <w:jc w:val="right"/>
            </w:pPr>
            <w:r>
              <w:rPr>
                <w:sz w:val="19"/>
                <w:szCs w:val="19"/>
              </w:rPr>
              <w:t xml:space="preserve">2.855</w:t>
            </w:r>
          </w:p>
        </w:tc>
        <w:tc>
          <w:tcPr>
            <w:tcW w:type="dxa" w:w="3425"/>
            <w:tcMar>
              <w:top w:type="dxa" w:w="60"/>
              <w:left w:type="dxa" w:w="100"/>
              <w:bottom w:type="dxa" w:w="60"/>
              <w:right w:type="dxa" w:w="100"/>
            </w:tcMar>
          </w:tcPr>
          <w:p>
            <w:pPr>
              <w:keepNext/>
              <w:spacing w:after="0" w:before="0"/>
              <w:jc w:val="right"/>
            </w:pPr>
            <w:r>
              <w:rPr>
                <w:sz w:val="19"/>
                <w:szCs w:val="19"/>
              </w:rPr>
              <w:t xml:space="preserve">14,0 %</w:t>
            </w:r>
          </w:p>
        </w:tc>
      </w:tr>
      <w:tr>
        <w:trPr>
          <w:cantSplit/>
          <w:tblHeader w:val="off"/>
        </w:trPr>
        <w:tc>
          <w:tcPr>
            <w:tcW w:type="dxa" w:w="4109"/>
            <w:tcMar>
              <w:top w:type="dxa" w:w="60"/>
              <w:left w:type="dxa" w:w="100"/>
              <w:bottom w:type="dxa" w:w="60"/>
              <w:right w:type="dxa" w:w="100"/>
            </w:tcMar>
          </w:tcPr>
          <w:p>
            <w:pPr>
              <w:keepNext w:val="false"/>
              <w:spacing w:after="0" w:before="0"/>
              <w:jc w:val="right"/>
            </w:pPr>
            <w:r>
              <w:rPr>
                <w:sz w:val="19"/>
                <w:szCs w:val="19"/>
              </w:rPr>
              <w:t xml:space="preserve">5 – 6 p. m.</w:t>
            </w:r>
          </w:p>
        </w:tc>
        <w:tc>
          <w:tcPr>
            <w:tcW w:type="dxa" w:w="1826"/>
            <w:tcMar>
              <w:top w:type="dxa" w:w="60"/>
              <w:left w:type="dxa" w:w="100"/>
              <w:bottom w:type="dxa" w:w="60"/>
              <w:right w:type="dxa" w:w="100"/>
            </w:tcMar>
          </w:tcPr>
          <w:p>
            <w:pPr>
              <w:keepNext w:val="false"/>
              <w:spacing w:after="0" w:before="0"/>
              <w:jc w:val="right"/>
            </w:pPr>
            <w:r>
              <w:rPr>
                <w:sz w:val="19"/>
                <w:szCs w:val="19"/>
              </w:rPr>
              <w:t xml:space="preserve">3.460</w:t>
            </w:r>
          </w:p>
        </w:tc>
        <w:tc>
          <w:tcPr>
            <w:tcW w:type="dxa" w:w="3425"/>
            <w:tcMar>
              <w:top w:type="dxa" w:w="60"/>
              <w:left w:type="dxa" w:w="100"/>
              <w:bottom w:type="dxa" w:w="60"/>
              <w:right w:type="dxa" w:w="100"/>
            </w:tcMar>
          </w:tcPr>
          <w:p>
            <w:pPr>
              <w:keepNext w:val="false"/>
              <w:spacing w:after="0" w:before="0"/>
              <w:jc w:val="right"/>
            </w:pPr>
            <w:r>
              <w:rPr>
                <w:sz w:val="19"/>
                <w:szCs w:val="19"/>
              </w:rPr>
              <w:t xml:space="preserve">1,6 % – 3,2 %</w:t>
            </w:r>
          </w:p>
        </w:tc>
      </w:tr>
    </w:tbl>
    <w:p>
      <w:pPr>
        <w:spacing w:after="80"/>
      </w:pPr>
    </w:p>
    <w:p>
      <w:pPr>
        <w:spacing w:after="120"/>
      </w:pPr>
      <w:r>
        <w:t xml:space="preserve">Mover parte del volumen de mitad de mañana hacia las 8–9 a. m. y las 2 p. m. podría multiplicar los contactos sin agregar asesores.</w:t>
      </w:r>
    </w:p>
    <w:p>
      <w:pPr>
        <w:pStyle w:val="Heading2"/>
      </w:pPr>
      <w:r>
        <w:t xml:space="preserve">3.3 Cobertura y priorización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968"/>
        <w:gridCol w:w="1826"/>
        <w:gridCol w:w="2511"/>
        <w:gridCol w:w="2055"/>
      </w:tblGrid>
      <w:tr>
        <w:trPr>
          <w:cantSplit/>
          <w:tblHeader/>
        </w:trPr>
        <w:tc>
          <w:tcPr>
            <w:tcW w:type="dxa" w:w="2968"/>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Tramo de mora</w:t>
            </w:r>
          </w:p>
        </w:tc>
        <w:tc>
          <w:tcPr>
            <w:tcW w:type="dxa" w:w="1826"/>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Créditos</w:t>
            </w:r>
          </w:p>
        </w:tc>
        <w:tc>
          <w:tcPr>
            <w:tcW w:type="dxa" w:w="2511"/>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Con gestión</w:t>
            </w:r>
          </w:p>
        </w:tc>
        <w:tc>
          <w:tcPr>
            <w:tcW w:type="dxa" w:w="2055"/>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Cobertura</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Al día</w:t>
            </w:r>
          </w:p>
        </w:tc>
        <w:tc>
          <w:tcPr>
            <w:tcW w:type="dxa" w:w="1826"/>
            <w:tcMar>
              <w:top w:type="dxa" w:w="60"/>
              <w:left w:type="dxa" w:w="100"/>
              <w:bottom w:type="dxa" w:w="60"/>
              <w:right w:type="dxa" w:w="100"/>
            </w:tcMar>
          </w:tcPr>
          <w:p>
            <w:pPr>
              <w:keepNext/>
              <w:spacing w:after="0" w:before="0"/>
              <w:jc w:val="right"/>
            </w:pPr>
            <w:r>
              <w:rPr>
                <w:sz w:val="19"/>
                <w:szCs w:val="19"/>
              </w:rPr>
              <w:t xml:space="preserve">17.746</w:t>
            </w:r>
          </w:p>
        </w:tc>
        <w:tc>
          <w:tcPr>
            <w:tcW w:type="dxa" w:w="2511"/>
            <w:tcMar>
              <w:top w:type="dxa" w:w="60"/>
              <w:left w:type="dxa" w:w="100"/>
              <w:bottom w:type="dxa" w:w="60"/>
              <w:right w:type="dxa" w:w="100"/>
            </w:tcMar>
          </w:tcPr>
          <w:p>
            <w:pPr>
              <w:keepNext/>
              <w:spacing w:after="0" w:before="0"/>
              <w:jc w:val="right"/>
            </w:pPr>
            <w:r>
              <w:rPr>
                <w:sz w:val="19"/>
                <w:szCs w:val="19"/>
              </w:rPr>
              <w:t xml:space="preserve">1.742</w:t>
            </w:r>
          </w:p>
        </w:tc>
        <w:tc>
          <w:tcPr>
            <w:tcW w:type="dxa" w:w="2055"/>
            <w:tcMar>
              <w:top w:type="dxa" w:w="60"/>
              <w:left w:type="dxa" w:w="100"/>
              <w:bottom w:type="dxa" w:w="60"/>
              <w:right w:type="dxa" w:w="100"/>
            </w:tcMar>
          </w:tcPr>
          <w:p>
            <w:pPr>
              <w:keepNext/>
              <w:spacing w:after="0" w:before="0"/>
              <w:jc w:val="right"/>
            </w:pPr>
            <w:r>
              <w:rPr>
                <w:sz w:val="19"/>
                <w:szCs w:val="19"/>
              </w:rPr>
              <w:t xml:space="preserve">9,8 %</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1–30</w:t>
            </w:r>
          </w:p>
        </w:tc>
        <w:tc>
          <w:tcPr>
            <w:tcW w:type="dxa" w:w="1826"/>
            <w:tcMar>
              <w:top w:type="dxa" w:w="60"/>
              <w:left w:type="dxa" w:w="100"/>
              <w:bottom w:type="dxa" w:w="60"/>
              <w:right w:type="dxa" w:w="100"/>
            </w:tcMar>
          </w:tcPr>
          <w:p>
            <w:pPr>
              <w:keepNext/>
              <w:spacing w:after="0" w:before="0"/>
              <w:jc w:val="right"/>
            </w:pPr>
            <w:r>
              <w:rPr>
                <w:sz w:val="19"/>
                <w:szCs w:val="19"/>
              </w:rPr>
              <w:t xml:space="preserve">6.515</w:t>
            </w:r>
          </w:p>
        </w:tc>
        <w:tc>
          <w:tcPr>
            <w:tcW w:type="dxa" w:w="2511"/>
            <w:tcMar>
              <w:top w:type="dxa" w:w="60"/>
              <w:left w:type="dxa" w:w="100"/>
              <w:bottom w:type="dxa" w:w="60"/>
              <w:right w:type="dxa" w:w="100"/>
            </w:tcMar>
          </w:tcPr>
          <w:p>
            <w:pPr>
              <w:keepNext/>
              <w:spacing w:after="0" w:before="0"/>
              <w:jc w:val="right"/>
            </w:pPr>
            <w:r>
              <w:rPr>
                <w:sz w:val="19"/>
                <w:szCs w:val="19"/>
              </w:rPr>
              <w:t xml:space="preserve">704</w:t>
            </w:r>
          </w:p>
        </w:tc>
        <w:tc>
          <w:tcPr>
            <w:tcW w:type="dxa" w:w="2055"/>
            <w:tcMar>
              <w:top w:type="dxa" w:w="60"/>
              <w:left w:type="dxa" w:w="100"/>
              <w:bottom w:type="dxa" w:w="60"/>
              <w:right w:type="dxa" w:w="100"/>
            </w:tcMar>
          </w:tcPr>
          <w:p>
            <w:pPr>
              <w:keepNext/>
              <w:spacing w:after="0" w:before="0"/>
              <w:jc w:val="right"/>
            </w:pPr>
            <w:r>
              <w:rPr>
                <w:sz w:val="19"/>
                <w:szCs w:val="19"/>
              </w:rPr>
              <w:t xml:space="preserve">10,8 %</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31–90</w:t>
            </w:r>
          </w:p>
        </w:tc>
        <w:tc>
          <w:tcPr>
            <w:tcW w:type="dxa" w:w="1826"/>
            <w:tcMar>
              <w:top w:type="dxa" w:w="60"/>
              <w:left w:type="dxa" w:w="100"/>
              <w:bottom w:type="dxa" w:w="60"/>
              <w:right w:type="dxa" w:w="100"/>
            </w:tcMar>
          </w:tcPr>
          <w:p>
            <w:pPr>
              <w:keepNext/>
              <w:spacing w:after="0" w:before="0"/>
              <w:jc w:val="right"/>
            </w:pPr>
            <w:r>
              <w:rPr>
                <w:sz w:val="19"/>
                <w:szCs w:val="19"/>
              </w:rPr>
              <w:t xml:space="preserve">1.042</w:t>
            </w:r>
          </w:p>
        </w:tc>
        <w:tc>
          <w:tcPr>
            <w:tcW w:type="dxa" w:w="2511"/>
            <w:tcMar>
              <w:top w:type="dxa" w:w="60"/>
              <w:left w:type="dxa" w:w="100"/>
              <w:bottom w:type="dxa" w:w="60"/>
              <w:right w:type="dxa" w:w="100"/>
            </w:tcMar>
          </w:tcPr>
          <w:p>
            <w:pPr>
              <w:keepNext/>
              <w:spacing w:after="0" w:before="0"/>
              <w:jc w:val="right"/>
            </w:pPr>
            <w:r>
              <w:rPr>
                <w:sz w:val="19"/>
                <w:szCs w:val="19"/>
              </w:rPr>
              <w:t xml:space="preserve">106</w:t>
            </w:r>
          </w:p>
        </w:tc>
        <w:tc>
          <w:tcPr>
            <w:tcW w:type="dxa" w:w="2055"/>
            <w:tcMar>
              <w:top w:type="dxa" w:w="60"/>
              <w:left w:type="dxa" w:w="100"/>
              <w:bottom w:type="dxa" w:w="60"/>
              <w:right w:type="dxa" w:w="100"/>
            </w:tcMar>
          </w:tcPr>
          <w:p>
            <w:pPr>
              <w:keepNext/>
              <w:spacing w:after="0" w:before="0"/>
              <w:jc w:val="right"/>
            </w:pPr>
            <w:r>
              <w:rPr>
                <w:sz w:val="19"/>
                <w:szCs w:val="19"/>
              </w:rPr>
              <w:t xml:space="preserve">10,2 %</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91–360</w:t>
            </w:r>
          </w:p>
        </w:tc>
        <w:tc>
          <w:tcPr>
            <w:tcW w:type="dxa" w:w="1826"/>
            <w:tcMar>
              <w:top w:type="dxa" w:w="60"/>
              <w:left w:type="dxa" w:w="100"/>
              <w:bottom w:type="dxa" w:w="60"/>
              <w:right w:type="dxa" w:w="100"/>
            </w:tcMar>
          </w:tcPr>
          <w:p>
            <w:pPr>
              <w:keepNext/>
              <w:spacing w:after="0" w:before="0"/>
              <w:jc w:val="right"/>
            </w:pPr>
            <w:r>
              <w:rPr>
                <w:sz w:val="19"/>
                <w:szCs w:val="19"/>
              </w:rPr>
              <w:t xml:space="preserve">1.279</w:t>
            </w:r>
          </w:p>
        </w:tc>
        <w:tc>
          <w:tcPr>
            <w:tcW w:type="dxa" w:w="2511"/>
            <w:tcMar>
              <w:top w:type="dxa" w:w="60"/>
              <w:left w:type="dxa" w:w="100"/>
              <w:bottom w:type="dxa" w:w="60"/>
              <w:right w:type="dxa" w:w="100"/>
            </w:tcMar>
          </w:tcPr>
          <w:p>
            <w:pPr>
              <w:keepNext/>
              <w:spacing w:after="0" w:before="0"/>
              <w:jc w:val="right"/>
            </w:pPr>
            <w:r>
              <w:rPr>
                <w:sz w:val="19"/>
                <w:szCs w:val="19"/>
              </w:rPr>
              <w:t xml:space="preserve">130</w:t>
            </w:r>
          </w:p>
        </w:tc>
        <w:tc>
          <w:tcPr>
            <w:tcW w:type="dxa" w:w="2055"/>
            <w:tcMar>
              <w:top w:type="dxa" w:w="60"/>
              <w:left w:type="dxa" w:w="100"/>
              <w:bottom w:type="dxa" w:w="60"/>
              <w:right w:type="dxa" w:w="100"/>
            </w:tcMar>
          </w:tcPr>
          <w:p>
            <w:pPr>
              <w:keepNext/>
              <w:spacing w:after="0" w:before="0"/>
              <w:jc w:val="right"/>
            </w:pPr>
            <w:r>
              <w:rPr>
                <w:sz w:val="19"/>
                <w:szCs w:val="19"/>
              </w:rPr>
              <w:t xml:space="preserve">10,2 %</w:t>
            </w:r>
          </w:p>
        </w:tc>
      </w:tr>
      <w:tr>
        <w:trPr>
          <w:cantSplit/>
          <w:tblHeader w:val="off"/>
        </w:trPr>
        <w:tc>
          <w:tcPr>
            <w:tcW w:type="dxa" w:w="2968"/>
            <w:tcMar>
              <w:top w:type="dxa" w:w="60"/>
              <w:left w:type="dxa" w:w="100"/>
              <w:bottom w:type="dxa" w:w="60"/>
              <w:right w:type="dxa" w:w="100"/>
            </w:tcMar>
          </w:tcPr>
          <w:p>
            <w:pPr>
              <w:keepNext w:val="false"/>
              <w:spacing w:after="0" w:before="0"/>
              <w:jc w:val="left"/>
            </w:pPr>
            <w:r>
              <w:rPr>
                <w:sz w:val="19"/>
                <w:szCs w:val="19"/>
              </w:rPr>
              <w:t xml:space="preserve">+360</w:t>
            </w:r>
          </w:p>
        </w:tc>
        <w:tc>
          <w:tcPr>
            <w:tcW w:type="dxa" w:w="1826"/>
            <w:tcMar>
              <w:top w:type="dxa" w:w="60"/>
              <w:left w:type="dxa" w:w="100"/>
              <w:bottom w:type="dxa" w:w="60"/>
              <w:right w:type="dxa" w:w="100"/>
            </w:tcMar>
          </w:tcPr>
          <w:p>
            <w:pPr>
              <w:keepNext w:val="false"/>
              <w:spacing w:after="0" w:before="0"/>
              <w:jc w:val="right"/>
            </w:pPr>
            <w:r>
              <w:rPr>
                <w:sz w:val="19"/>
                <w:szCs w:val="19"/>
              </w:rPr>
              <w:t xml:space="preserve">1.016</w:t>
            </w:r>
          </w:p>
        </w:tc>
        <w:tc>
          <w:tcPr>
            <w:tcW w:type="dxa" w:w="2511"/>
            <w:tcMar>
              <w:top w:type="dxa" w:w="60"/>
              <w:left w:type="dxa" w:w="100"/>
              <w:bottom w:type="dxa" w:w="60"/>
              <w:right w:type="dxa" w:w="100"/>
            </w:tcMar>
          </w:tcPr>
          <w:p>
            <w:pPr>
              <w:keepNext w:val="false"/>
              <w:spacing w:after="0" w:before="0"/>
              <w:jc w:val="right"/>
            </w:pPr>
            <w:r>
              <w:rPr>
                <w:sz w:val="19"/>
                <w:szCs w:val="19"/>
              </w:rPr>
              <w:t xml:space="preserve">106</w:t>
            </w:r>
          </w:p>
        </w:tc>
        <w:tc>
          <w:tcPr>
            <w:tcW w:type="dxa" w:w="2055"/>
            <w:tcMar>
              <w:top w:type="dxa" w:w="60"/>
              <w:left w:type="dxa" w:w="100"/>
              <w:bottom w:type="dxa" w:w="60"/>
              <w:right w:type="dxa" w:w="100"/>
            </w:tcMar>
          </w:tcPr>
          <w:p>
            <w:pPr>
              <w:keepNext w:val="false"/>
              <w:spacing w:after="0" w:before="0"/>
              <w:jc w:val="right"/>
            </w:pPr>
            <w:r>
              <w:rPr>
                <w:sz w:val="19"/>
                <w:szCs w:val="19"/>
              </w:rPr>
              <w:t xml:space="preserve">10,4 %</w:t>
            </w:r>
          </w:p>
        </w:tc>
      </w:tr>
    </w:tbl>
    <w:p>
      <w:pPr>
        <w:spacing w:after="80"/>
      </w:pPr>
    </w:p>
    <w:p>
      <w:pPr>
        <w:spacing w:after="120"/>
      </w:pPr>
      <w:r>
        <w:t xml:space="preserve">La cobertura es casi idéntica en todos los tramos. La asignación parece aleatoria y no basada en riesgo.</w:t>
      </w:r>
    </w:p>
    <w:p>
      <w:pPr>
        <w:pStyle w:val="Heading2"/>
      </w:pPr>
      <w:r>
        <w:t xml:space="preserve">3.4 Recaudo</w:t>
      </w:r>
    </w:p>
    <w:p>
      <w:pPr>
        <w:pStyle w:val="ListParagraph"/>
        <w:numPr>
          <w:ilvl w:val="0"/>
          <w:numId w:val="2"/>
        </w:numPr>
        <w:spacing w:after="60"/>
      </w:pPr>
      <w:r>
        <w:t xml:space="preserve">El recaudo efectivo neto es de </w:t>
      </w:r>
      <w:r>
        <w:rPr>
          <w:b/>
          <w:bCs/>
        </w:rPr>
        <w:t xml:space="preserve">$202.882 M</w:t>
      </w:r>
      <w:r>
        <w:t xml:space="preserve">. El </w:t>
      </w:r>
      <w:r>
        <w:rPr>
          <w:b/>
          <w:bCs/>
        </w:rPr>
        <w:t xml:space="preserve">77 %</w:t>
      </w:r>
      <w:r>
        <w:t xml:space="preserve"> ($155.362 M) corresponde a créditos que tuvieron una gestión o un SMS en los 30 días previos al pago.</w:t>
      </w:r>
    </w:p>
    <w:p>
      <w:pPr>
        <w:pStyle w:val="ListParagraph"/>
        <w:numPr>
          <w:ilvl w:val="0"/>
          <w:numId w:val="2"/>
        </w:numPr>
        <w:spacing w:after="60"/>
      </w:pPr>
      <w:r>
        <w:t xml:space="preserve">Los principales canales de pago son Caja (29 %), PSE (28 %) y Banco de Bogotá (24 %).</w:t>
      </w:r>
    </w:p>
    <w:p>
      <w:pPr>
        <w:pStyle w:val="ListParagraph"/>
        <w:numPr>
          <w:ilvl w:val="0"/>
          <w:numId w:val="2"/>
        </w:numPr>
        <w:spacing w:after="60"/>
      </w:pPr>
      <w:r>
        <w:t xml:space="preserve">El índice de cartera vencida (saldo con más de 30 días de mora / saldo total) es del </w:t>
      </w:r>
      <w:r>
        <w:rPr>
          <w:b/>
          <w:bCs/>
        </w:rPr>
        <w:t xml:space="preserve">12,4 %</w:t>
      </w:r>
      <w:r>
        <w:t xml:space="preserve">.</w:t>
      </w:r>
    </w:p>
    <w:p>
      <w:pPr>
        <w:pStyle w:val="Heading2"/>
      </w:pPr>
      <w:r>
        <w:t xml:space="preserve">3.5 Canal SMS (Reporte1)</w:t>
      </w:r>
    </w:p>
    <w:p>
      <w:pPr>
        <w:pStyle w:val="ListParagraph"/>
        <w:numPr>
          <w:ilvl w:val="0"/>
          <w:numId w:val="2"/>
        </w:numPr>
        <w:spacing w:after="60"/>
      </w:pPr>
      <w:r>
        <w:t xml:space="preserve">7.438 SMS a 2.740 créditos (2,7 por crédito), con 100 % de entrega a la red y </w:t>
      </w:r>
      <w:r>
        <w:rPr>
          <w:b/>
          <w:bCs/>
        </w:rPr>
        <w:t xml:space="preserve">0 clics</w:t>
      </w:r>
      <w:r>
        <w:t xml:space="preserve">. El SMS funciona como recordatorio, no como canal de autogestión: el mensaje no trae enlace de pago.</w:t>
      </w:r>
    </w:p>
    <w:p>
      <w:pPr>
        <w:pStyle w:val="ListParagraph"/>
        <w:numPr>
          <w:ilvl w:val="0"/>
          <w:numId w:val="2"/>
        </w:numPr>
        <w:spacing w:after="60"/>
      </w:pPr>
      <w:r>
        <w:t xml:space="preserve">El 67 % de los mensajes son de "compromiso incumplido" y el 33 % son recordatorios de pago.</w:t>
      </w:r>
    </w:p>
    <w:p>
      <w:pPr>
        <w:pStyle w:val="Heading1"/>
      </w:pPr>
      <w:r>
        <w:t xml:space="preserve">4. Limitaciones de las fuentes</w:t>
      </w:r>
    </w:p>
    <w:p>
      <w:pPr>
        <w:pStyle w:val="ListParagraph"/>
        <w:numPr>
          <w:ilvl w:val="0"/>
          <w:numId w:val="2"/>
        </w:numPr>
        <w:spacing w:after="60"/>
      </w:pPr>
      <w:r>
        <w:rPr>
          <w:b/>
          <w:bCs/>
        </w:rPr>
        <w:t xml:space="preserve">El Reporte1 es de julio de 2022 y las demás bases son de junio–agosto de 2025.</w:t>
      </w:r>
      <w:r>
        <w:t xml:space="preserve"> Se cruzan por crédito (los 2.740 créditos del Reporte1 existen en Comité), pero no por fecha. Por eso no se puede medir si un SMS llevó a un pago.</w:t>
      </w:r>
    </w:p>
    <w:p>
      <w:pPr>
        <w:pStyle w:val="ListParagraph"/>
        <w:numPr>
          <w:ilvl w:val="0"/>
          <w:numId w:val="2"/>
        </w:numPr>
        <w:spacing w:after="60"/>
      </w:pPr>
      <w:r>
        <w:rPr>
          <w:b/>
          <w:bCs/>
        </w:rPr>
        <w:t xml:space="preserve">Comité no es un panel completo.</w:t>
      </w:r>
      <w:r>
        <w:t xml:space="preserve"> Cada mes trae ~10.000 créditos casi distintos (solo 483 aparecen en dos meses). Por eso cada gestión toma la foto de cartera del mismo mes o, si no existe, la más cercana.</w:t>
      </w:r>
    </w:p>
    <w:p>
      <w:pPr>
        <w:pStyle w:val="ListParagraph"/>
        <w:numPr>
          <w:ilvl w:val="0"/>
          <w:numId w:val="2"/>
        </w:numPr>
        <w:spacing w:after="60"/>
      </w:pPr>
      <w:r>
        <w:rPr>
          <w:b/>
          <w:bCs/>
        </w:rPr>
        <w:t xml:space="preserve">No hay asesor ni agente</w:t>
      </w:r>
      <w:r>
        <w:t xml:space="preserve"> en ninguna base. El tablero filtra por fecha, canal, tramo de mora, estado y producto.</w:t>
      </w:r>
    </w:p>
    <w:p>
      <w:pPr>
        <w:pStyle w:val="ListParagraph"/>
        <w:numPr>
          <w:ilvl w:val="0"/>
          <w:numId w:val="2"/>
        </w:numPr>
        <w:spacing w:after="60"/>
      </w:pPr>
      <w:r>
        <w:rPr>
          <w:b/>
          <w:bCs/>
        </w:rPr>
        <w:t xml:space="preserve">Las bases 3 y 4 no traen celular ni valor de cuota</w:t>
      </w:r>
      <w:r>
        <w:t xml:space="preserve">, que la Parte 2 exige. El celular sale del Reporte1 (53 de 452 promesas incumplidas de la Vista 1 quedan sin él) y la cuota se estima como anualidad con el saldo, la tasa nominal mensual y las cuotas pendientes.</w:t>
      </w:r>
    </w:p>
    <w:p>
      <w:pPr>
        <w:pStyle w:val="ListParagraph"/>
        <w:numPr>
          <w:ilvl w:val="0"/>
          <w:numId w:val="2"/>
        </w:numPr>
        <w:spacing w:after="60"/>
      </w:pPr>
      <w:r>
        <w:rPr>
          <w:b/>
          <w:bCs/>
        </w:rPr>
        <w:t xml:space="preserve">Los datos terminan el 29-ago-2025.</w:t>
      </w:r>
      <w:r>
        <w:t xml:space="preserve"> Las vistas de la Parte 2 usan una fecha de referencia configurable (25-jul-2025 en la demostración); en producción se deja vacía para usar la fecha del día.</w:t>
      </w:r>
    </w:p>
    <w:p>
      <w:pPr>
        <w:pStyle w:val="Heading1"/>
      </w:pPr>
      <w:r>
        <w:t xml:space="preserve">5. Recomendaciones</w:t>
      </w:r>
    </w:p>
    <w:p>
      <w:pPr>
        <w:pStyle w:val="ListParagraph"/>
        <w:numPr>
          <w:ilvl w:val="0"/>
          <w:numId w:val="3"/>
        </w:numPr>
        <w:spacing w:after="60"/>
      </w:pPr>
      <w:r>
        <w:rPr>
          <w:b/>
          <w:bCs/>
        </w:rPr>
        <w:t xml:space="preserve">Reasignar la franja de llamadas</w:t>
      </w:r>
      <w:r>
        <w:t xml:space="preserve"> hacia las 8–9 a. m. y las 2 p. m., y medir el efecto en la contactabilidad con el mismo tablero.</w:t>
      </w:r>
    </w:p>
    <w:p>
      <w:pPr>
        <w:pStyle w:val="ListParagraph"/>
        <w:numPr>
          <w:ilvl w:val="0"/>
          <w:numId w:val="3"/>
        </w:numPr>
        <w:spacing w:after="60"/>
      </w:pPr>
      <w:r>
        <w:rPr>
          <w:b/>
          <w:bCs/>
        </w:rPr>
        <w:t xml:space="preserve">Atacar el cumplimiento, no la negociación.</w:t>
      </w:r>
      <w:r>
        <w:t xml:space="preserve"> Convertir las promesas en acuerdos formales (47 % de cumplimiento frente a 34 %), confirmarlas por SMS el día antes y hacer seguimiento diario con la Vista 1 de la Parte 2.</w:t>
      </w:r>
    </w:p>
    <w:p>
      <w:pPr>
        <w:pStyle w:val="ListParagraph"/>
        <w:numPr>
          <w:ilvl w:val="0"/>
          <w:numId w:val="3"/>
        </w:numPr>
        <w:spacing w:after="60"/>
      </w:pPr>
      <w:r>
        <w:rPr>
          <w:b/>
          <w:bCs/>
        </w:rPr>
        <w:t xml:space="preserve">Priorizar la cobertura por riesgo</w:t>
      </w:r>
      <w:r>
        <w:t xml:space="preserve"> (tramos 31–180 días y la Vista 2 de mora +60) en lugar de repartirla de forma uniforme.</w:t>
      </w:r>
    </w:p>
    <w:p>
      <w:pPr>
        <w:pStyle w:val="ListParagraph"/>
        <w:numPr>
          <w:ilvl w:val="0"/>
          <w:numId w:val="3"/>
        </w:numPr>
        <w:spacing w:after="60"/>
      </w:pPr>
      <w:r>
        <w:rPr>
          <w:b/>
          <w:bCs/>
        </w:rPr>
        <w:t xml:space="preserve">Agregar un enlace de pago (PSE) al SMS.</w:t>
      </w:r>
      <w:r>
        <w:t xml:space="preserve"> Hoy tiene 0 clics, y PSE ya es el segundo canal de recaudo.</w:t>
      </w:r>
    </w:p>
    <w:p>
      <w:pPr>
        <w:pStyle w:val="ListParagraph"/>
        <w:numPr>
          <w:ilvl w:val="0"/>
          <w:numId w:val="3"/>
        </w:numPr>
        <w:spacing w:after="60"/>
      </w:pPr>
      <w:r>
        <w:rPr>
          <w:b/>
          <w:bCs/>
        </w:rPr>
        <w:t xml:space="preserve">Corregir la calidad en el origen</w:t>
      </w:r>
      <w:r>
        <w:t xml:space="preserve">: ID de crédito sin sufijos, catálogos cerrados en el aplicativo de gestión, ID de transacción en los pagos e identificación del asesor en cada gestión.</w:t>
      </w:r>
    </w:p>
    <w:p>
      <w:pPr>
        <w:pStyle w:val="Heading1"/>
      </w:pPr>
      <w:r>
        <w:t xml:space="preserve">6. Punto opcional: resumen ejecutivo con IA</w:t>
      </w:r>
    </w:p>
    <w:p>
      <w:pPr>
        <w:pStyle w:val="ListParagraph"/>
        <w:numPr>
          <w:ilvl w:val="0"/>
          <w:numId w:val="2"/>
        </w:numPr>
        <w:spacing w:after="60"/>
      </w:pPr>
      <w:r>
        <w:rPr>
          <w:b/>
          <w:bCs/>
        </w:rPr>
        <w:t xml:space="preserve">Alternativa elegida:</w:t>
      </w:r>
      <w:r>
        <w:t xml:space="preserve"> narrativa automática para el dashboard (página "Resumen IA").</w:t>
      </w:r>
    </w:p>
    <w:p>
      <w:pPr>
        <w:pStyle w:val="ListParagraph"/>
        <w:numPr>
          <w:ilvl w:val="0"/>
          <w:numId w:val="2"/>
        </w:numPr>
        <w:spacing w:after="60"/>
      </w:pPr>
      <w:r>
        <w:rPr>
          <w:b/>
          <w:bCs/>
        </w:rPr>
        <w:t xml:space="preserve">API:</w:t>
      </w:r>
      <w:r>
        <w:t xml:space="preserve"> Google Gemini API (plan gratuito de Google AI Studio, SDK </w:t>
      </w:r>
      <w:r>
        <w:rPr>
          <w:rFonts w:ascii="Consolas" w:cs="Consolas" w:eastAsia="Consolas" w:hAnsi="Consolas"/>
          <w:color w:val="1F4E79"/>
          <w:sz w:val="19"/>
          <w:szCs w:val="19"/>
        </w:rPr>
        <w:t xml:space="preserve">google-genai</w:t>
      </w:r>
      <w:r>
        <w:t xml:space="preserve">), modelo </w:t>
      </w:r>
      <w:r>
        <w:rPr>
          <w:rFonts w:ascii="Consolas" w:cs="Consolas" w:eastAsia="Consolas" w:hAnsi="Consolas"/>
          <w:color w:val="1F4E79"/>
          <w:sz w:val="19"/>
          <w:szCs w:val="19"/>
        </w:rPr>
        <w:t xml:space="preserve">gemini-flash-latest</w:t>
      </w:r>
      <w:r>
        <w:t xml:space="preserve">. El script admite Anthropic Claude como proveedor alternativo.</w:t>
      </w:r>
    </w:p>
    <w:p>
      <w:pPr>
        <w:pStyle w:val="ListParagraph"/>
        <w:numPr>
          <w:ilvl w:val="0"/>
          <w:numId w:val="2"/>
        </w:numPr>
        <w:spacing w:after="60"/>
      </w:pPr>
      <w:r>
        <w:rPr>
          <w:b/>
          <w:bCs/>
        </w:rPr>
        <w:t xml:space="preserve">Lógica:</w:t>
      </w:r>
      <w:r>
        <w:t xml:space="preserve"> </w:t>
      </w:r>
      <w:r>
        <w:rPr>
          <w:rFonts w:ascii="Consolas" w:cs="Consolas" w:eastAsia="Consolas" w:hAnsi="Consolas"/>
          <w:color w:val="1F4E79"/>
          <w:sz w:val="19"/>
          <w:szCs w:val="19"/>
        </w:rPr>
        <w:t xml:space="preserve">etl/resumen_ia.py</w:t>
      </w:r>
      <w:r>
        <w:t xml:space="preserve"> calcula los KPIs agregados del data mart (embudo, cobertura por tramo, contactabilidad por hora, cumplimiento por tipo de promesa, recaudo, SMS). Los envía al modelo y guarda la respuesta en la tabla </w:t>
      </w:r>
      <w:r>
        <w:rPr>
          <w:rFonts w:ascii="Consolas" w:cs="Consolas" w:eastAsia="Consolas" w:hAnsi="Consolas"/>
          <w:color w:val="1F4E79"/>
          <w:sz w:val="19"/>
          <w:szCs w:val="19"/>
        </w:rPr>
        <w:t xml:space="preserve">mart.resumen_ia</w:t>
      </w:r>
      <w:r>
        <w:t xml:space="preserve">, que el dashboard muestra. </w:t>
      </w:r>
      <w:r>
        <w:rPr>
          <w:b/>
          <w:bCs/>
        </w:rPr>
        <w:t xml:space="preserve">No se envía ningún dato de clientes.</w:t>
      </w:r>
    </w:p>
    <w:p>
      <w:pPr>
        <w:pStyle w:val="ListParagraph"/>
        <w:numPr>
          <w:ilvl w:val="0"/>
          <w:numId w:val="2"/>
        </w:numPr>
        <w:spacing w:after="60"/>
      </w:pPr>
      <w:r>
        <w:rPr>
          <w:b/>
          <w:bCs/>
        </w:rPr>
        <w:t xml:space="preserve">Prompt:</w:t>
      </w:r>
      <w:r>
        <w:t xml:space="preserve"> el modelo actúa como analista senior de cobranza que escribe para la gerencia. Usa solo las cifras recibidas, en formato colombiano, sin inventar metas ni causas. Prioriza dónde se pierde valor en el embudo contacto → promesa → pago.</w:t>
      </w:r>
    </w:p>
    <w:p>
      <w:pPr>
        <w:pStyle w:val="ListParagraph"/>
        <w:numPr>
          <w:ilvl w:val="0"/>
          <w:numId w:val="2"/>
        </w:numPr>
        <w:spacing w:after="60"/>
      </w:pPr>
      <w:r>
        <w:rPr>
          <w:b/>
          <w:bCs/>
        </w:rPr>
        <w:t xml:space="preserve">Salida:</w:t>
      </w:r>
      <w:r>
        <w:t xml:space="preserve"> JSON con esquema fijo (titular, resumen, alertas con severidad, recomendaciones), validado antes de guardarse. Incluye reintentos y un modelo de respaldo ante saturación del servicio.</w:t>
      </w:r>
    </w:p>
    <w:p>
      <w:pPr>
        <w:pStyle w:val="ListParagraph"/>
        <w:numPr>
          <w:ilvl w:val="0"/>
          <w:numId w:val="2"/>
        </w:numPr>
        <w:spacing w:after="60"/>
      </w:pPr>
      <w:r>
        <w:rPr>
          <w:b/>
          <w:bCs/>
        </w:rPr>
        <w:t xml:space="preserve">Resultado:</w:t>
      </w:r>
      <w:r>
        <w:t xml:space="preserve"> al verificar las cifras citadas contra los KPIs, todas fueron correctas salvo una generalización sobre la cobertura por tramo. Por eso el tablero advierte revisar las cifras: la IA redacta y el data mart sigue siendo la fuente de verdad.</w:t>
      </w:r>
    </w:p>
    <w:p>
      <w:pPr>
        <w:pStyle w:val="ListParagraph"/>
        <w:numPr>
          <w:ilvl w:val="0"/>
          <w:numId w:val="2"/>
        </w:numPr>
        <w:spacing w:after="60"/>
      </w:pPr>
      <w:r>
        <w:rPr>
          <w:b/>
          <w:bCs/>
        </w:rPr>
        <w:t xml:space="preserve">Valor agregado:</w:t>
      </w:r>
      <w:r>
        <w:t xml:space="preserve"> la gerencia recibe en lenguaje natural lo que el tablero muestra en números. Se regenera con cada carga y no requiere que un analista lo redacte.</w:t>
      </w:r>
    </w:p>
    <w:p>
      <w:pPr>
        <w:pStyle w:val="Heading1"/>
      </w:pPr>
      <w:r>
        <w:t xml:space="preserve">7. Contenido del proyecto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00"/>
        <w:gridCol w:w="6660"/>
      </w:tblGrid>
      <w:tr>
        <w:trPr>
          <w:cantSplit/>
          <w:tblHeader/>
        </w:trPr>
        <w:tc>
          <w:tcPr>
            <w:tcW w:type="dxa" w:w="270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Carpeta</w:t>
            </w:r>
          </w:p>
        </w:tc>
        <w:tc>
          <w:tcPr>
            <w:tcW w:type="dxa" w:w="666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Contenido</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Parte1_ETL_PowerBI</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Punto1_Carga_SQL_Server</w:t>
            </w:r>
            <w:r>
              <w:rPr>
                <w:sz w:val="19"/>
                <w:szCs w:val="19"/>
              </w:rPr>
              <w:t xml:space="preserve">/  </w:t>
            </w:r>
            <w:r>
              <w:rPr>
                <w:rFonts w:ascii="Consolas" w:cs="Consolas" w:eastAsia="Consolas" w:hAnsi="Consolas"/>
                <w:color w:val="1F4E79"/>
                <w:sz w:val="19"/>
                <w:szCs w:val="19"/>
              </w:rPr>
              <w:t xml:space="preserve">01_modelo_relacional.sql</w:t>
            </w:r>
            <w:r>
              <w:rPr>
                <w:sz w:val="19"/>
                <w:szCs w:val="19"/>
              </w:rPr>
              <w:t xml:space="preserve"> (modelo relacional), </w:t>
            </w:r>
            <w:r>
              <w:rPr>
                <w:rFonts w:ascii="Consolas" w:cs="Consolas" w:eastAsia="Consolas" w:hAnsi="Consolas"/>
                <w:color w:val="1F4E79"/>
                <w:sz w:val="19"/>
                <w:szCs w:val="19"/>
              </w:rPr>
              <w:t xml:space="preserve">cargar_bases.py</w:t>
            </w:r>
            <w:r>
              <w:rPr>
                <w:sz w:val="19"/>
                <w:szCs w:val="19"/>
              </w:rPr>
              <w:t xml:space="preserve"> (carga de las bases 2, 3 y 4) y </w:t>
            </w:r>
            <w:r>
              <w:rPr>
                <w:rFonts w:ascii="Consolas" w:cs="Consolas" w:eastAsia="Consolas" w:hAnsi="Consolas"/>
                <w:color w:val="1F4E79"/>
                <w:sz w:val="19"/>
                <w:szCs w:val="19"/>
              </w:rPr>
              <w:t xml:space="preserve">crear_base_datos.py</w:t>
            </w:r>
            <w:r>
              <w:rPr>
                <w:sz w:val="19"/>
                <w:szCs w:val="19"/>
              </w:rPr>
              <w:t xml:space="preserve"> (crea la base)</w:t>
            </w:r>
          </w:p>
          <w:p>
            <w:pPr>
              <w:keepNext/>
              <w:spacing w:after="0" w:before="0"/>
              <w:jc w:val="left"/>
            </w:pPr>
            <w:r>
              <w:rPr>
                <w:rFonts w:ascii="Consolas" w:cs="Consolas" w:eastAsia="Consolas" w:hAnsi="Consolas"/>
                <w:color w:val="1F4E79"/>
                <w:sz w:val="19"/>
                <w:szCs w:val="19"/>
              </w:rPr>
              <w:t xml:space="preserve">Punto2_ETL_Reporte1</w:t>
            </w:r>
            <w:r>
              <w:rPr>
                <w:sz w:val="19"/>
                <w:szCs w:val="19"/>
              </w:rPr>
              <w:t xml:space="preserve">/  </w:t>
            </w:r>
            <w:r>
              <w:rPr>
                <w:rFonts w:ascii="Consolas" w:cs="Consolas" w:eastAsia="Consolas" w:hAnsi="Consolas"/>
                <w:color w:val="1F4E79"/>
                <w:sz w:val="19"/>
                <w:szCs w:val="19"/>
              </w:rPr>
              <w:t xml:space="preserve">etl_reporte1.py</w:t>
            </w:r>
            <w:r>
              <w:rPr>
                <w:sz w:val="19"/>
                <w:szCs w:val="19"/>
              </w:rPr>
              <w:t xml:space="preserve"> (ETL diario del Reporte1), </w:t>
            </w:r>
            <w:r>
              <w:rPr>
                <w:rFonts w:ascii="Consolas" w:cs="Consolas" w:eastAsia="Consolas" w:hAnsi="Consolas"/>
                <w:color w:val="1F4E79"/>
                <w:sz w:val="19"/>
                <w:szCs w:val="19"/>
              </w:rPr>
              <w:t xml:space="preserve">ejecutar_etl_diario.bat</w:t>
            </w:r>
            <w:r>
              <w:rPr>
                <w:sz w:val="19"/>
                <w:szCs w:val="19"/>
              </w:rPr>
              <w:t xml:space="preserve"> y </w:t>
            </w:r>
            <w:r>
              <w:rPr>
                <w:rFonts w:ascii="Consolas" w:cs="Consolas" w:eastAsia="Consolas" w:hAnsi="Consolas"/>
                <w:color w:val="1F4E79"/>
                <w:sz w:val="19"/>
                <w:szCs w:val="19"/>
              </w:rPr>
              <w:t xml:space="preserve">programar_tarea_diaria.ps1</w:t>
            </w:r>
            <w:r>
              <w:rPr>
                <w:sz w:val="19"/>
                <w:szCs w:val="19"/>
              </w:rPr>
              <w:t xml:space="preserve"> (ejecución diaria automática)</w:t>
            </w:r>
          </w:p>
          <w:p>
            <w:pPr>
              <w:keepNext/>
              <w:spacing w:after="0" w:before="0"/>
              <w:jc w:val="left"/>
            </w:pPr>
            <w:r>
              <w:rPr>
                <w:rFonts w:ascii="Consolas" w:cs="Consolas" w:eastAsia="Consolas" w:hAnsi="Consolas"/>
                <w:color w:val="1F4E79"/>
                <w:sz w:val="19"/>
                <w:szCs w:val="19"/>
              </w:rPr>
              <w:t xml:space="preserve">Punto3_Procesamiento_Datos</w:t>
            </w:r>
            <w:r>
              <w:rPr>
                <w:sz w:val="19"/>
                <w:szCs w:val="19"/>
              </w:rPr>
              <w:t xml:space="preserve">/  </w:t>
            </w:r>
            <w:r>
              <w:rPr>
                <w:rFonts w:ascii="Consolas" w:cs="Consolas" w:eastAsia="Consolas" w:hAnsi="Consolas"/>
                <w:color w:val="1F4E79"/>
                <w:sz w:val="19"/>
                <w:szCs w:val="19"/>
              </w:rPr>
              <w:t xml:space="preserve">limpieza.py</w:t>
            </w:r>
            <w:r>
              <w:rPr>
                <w:sz w:val="19"/>
                <w:szCs w:val="19"/>
              </w:rPr>
              <w:t xml:space="preserve"> (limpieza y reglas de negocio), </w:t>
            </w:r>
            <w:r>
              <w:rPr>
                <w:rFonts w:ascii="Consolas" w:cs="Consolas" w:eastAsia="Consolas" w:hAnsi="Consolas"/>
                <w:color w:val="1F4E79"/>
                <w:sz w:val="19"/>
                <w:szCs w:val="19"/>
              </w:rPr>
              <w:t xml:space="preserve">data_mart.py</w:t>
            </w:r>
            <w:r>
              <w:rPr>
                <w:sz w:val="19"/>
                <w:szCs w:val="19"/>
              </w:rPr>
              <w:t xml:space="preserve"> y </w:t>
            </w:r>
            <w:r>
              <w:rPr>
                <w:rFonts w:ascii="Consolas" w:cs="Consolas" w:eastAsia="Consolas" w:hAnsi="Consolas"/>
                <w:color w:val="1F4E79"/>
                <w:sz w:val="19"/>
                <w:szCs w:val="19"/>
              </w:rPr>
              <w:t xml:space="preserve">02_tablas_data_mart.sql</w:t>
            </w:r>
            <w:r>
              <w:rPr>
                <w:sz w:val="19"/>
                <w:szCs w:val="19"/>
              </w:rPr>
              <w:t xml:space="preserve"> (data mart)</w:t>
            </w:r>
          </w:p>
          <w:p>
            <w:pPr>
              <w:keepNext/>
              <w:spacing w:after="0" w:before="0"/>
              <w:jc w:val="left"/>
            </w:pPr>
            <w:r>
              <w:rPr>
                <w:rFonts w:ascii="Consolas" w:cs="Consolas" w:eastAsia="Consolas" w:hAnsi="Consolas"/>
                <w:color w:val="1F4E79"/>
                <w:sz w:val="19"/>
                <w:szCs w:val="19"/>
              </w:rPr>
              <w:t xml:space="preserve">Punto4_KPIs_Dashboard</w:t>
            </w:r>
            <w:r>
              <w:rPr>
                <w:sz w:val="19"/>
                <w:szCs w:val="19"/>
              </w:rPr>
              <w:t xml:space="preserve">/  </w:t>
            </w:r>
            <w:r>
              <w:rPr>
                <w:rFonts w:ascii="Consolas" w:cs="Consolas" w:eastAsia="Consolas" w:hAnsi="Consolas"/>
                <w:color w:val="1F4E79"/>
                <w:sz w:val="19"/>
                <w:szCs w:val="19"/>
              </w:rPr>
              <w:t xml:space="preserve">Dashboard_Cobranza.pbix</w:t>
            </w:r>
          </w:p>
          <w:p>
            <w:pPr>
              <w:keepNext/>
              <w:spacing w:after="0" w:before="0"/>
              <w:jc w:val="left"/>
            </w:pPr>
            <w:r>
              <w:rPr>
                <w:rFonts w:ascii="Consolas" w:cs="Consolas" w:eastAsia="Consolas" w:hAnsi="Consolas"/>
                <w:color w:val="1F4E79"/>
                <w:sz w:val="19"/>
                <w:szCs w:val="19"/>
              </w:rPr>
              <w:t xml:space="preserve">Utilidades_Conexion</w:t>
            </w:r>
            <w:r>
              <w:rPr>
                <w:sz w:val="19"/>
                <w:szCs w:val="19"/>
              </w:rPr>
              <w:t xml:space="preserve">/  </w:t>
            </w:r>
            <w:r>
              <w:rPr>
                <w:rFonts w:ascii="Consolas" w:cs="Consolas" w:eastAsia="Consolas" w:hAnsi="Consolas"/>
                <w:color w:val="1F4E79"/>
                <w:sz w:val="19"/>
                <w:szCs w:val="19"/>
              </w:rPr>
              <w:t xml:space="preserve">config.py</w:t>
            </w:r>
            <w:r>
              <w:rPr>
                <w:sz w:val="19"/>
                <w:szCs w:val="19"/>
              </w:rPr>
              <w:t xml:space="preserve"> y </w:t>
            </w:r>
            <w:r>
              <w:rPr>
                <w:rFonts w:ascii="Consolas" w:cs="Consolas" w:eastAsia="Consolas" w:hAnsi="Consolas"/>
                <w:color w:val="1F4E79"/>
                <w:sz w:val="19"/>
                <w:szCs w:val="19"/>
              </w:rPr>
              <w:t xml:space="preserve">db.py</w:t>
            </w:r>
            <w:r>
              <w:rPr>
                <w:sz w:val="19"/>
                <w:szCs w:val="19"/>
              </w:rPr>
              <w:t xml:space="preserve"> (conexión y parámetros compartidos)</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Parte2_Vistas_Promesas</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03_vistas_promesas.sql</w:t>
            </w:r>
            <w:r>
              <w:rPr>
                <w:sz w:val="19"/>
                <w:szCs w:val="19"/>
              </w:rPr>
              <w:t xml:space="preserve"> (vistas creadas en el esquema </w:t>
            </w:r>
            <w:r>
              <w:rPr>
                <w:rFonts w:ascii="Consolas" w:cs="Consolas" w:eastAsia="Consolas" w:hAnsi="Consolas"/>
                <w:color w:val="1F4E79"/>
                <w:sz w:val="19"/>
                <w:szCs w:val="19"/>
              </w:rPr>
              <w:t xml:space="preserve">seg</w:t>
            </w:r>
            <w:r>
              <w:rPr>
                <w:sz w:val="19"/>
                <w:szCs w:val="19"/>
              </w:rPr>
              <w:t xml:space="preserve"> de la base </w:t>
            </w:r>
            <w:r>
              <w:rPr>
                <w:rFonts w:ascii="Consolas" w:cs="Consolas" w:eastAsia="Consolas" w:hAnsi="Consolas"/>
                <w:color w:val="1F4E79"/>
                <w:sz w:val="19"/>
                <w:szCs w:val="19"/>
              </w:rPr>
              <w:t xml:space="preserve">AnaliticaCobranza</w:t>
            </w:r>
            <w:r>
              <w:rPr>
                <w:sz w:val="19"/>
                <w:szCs w:val="19"/>
              </w:rPr>
              <w:t xml:space="preserve">)</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Parte3_Revision_SQL</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Analisis_Script_SQL.docx</w:t>
            </w:r>
            <w:r>
              <w:rPr>
                <w:sz w:val="19"/>
                <w:szCs w:val="19"/>
              </w:rPr>
              <w:t xml:space="preserve"> (incluye la propuesta optimizada como anexo)</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Punto_Opcional_IA</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resumen_ia.py</w:t>
            </w:r>
            <w:r>
              <w:rPr>
                <w:sz w:val="19"/>
                <w:szCs w:val="19"/>
              </w:rPr>
              <w:t xml:space="preserve"> (resumen ejecutivo con IA que se muestra en la página "Resumen IA" del dashboard) y </w:t>
            </w:r>
            <w:r>
              <w:rPr>
                <w:rFonts w:ascii="Consolas" w:cs="Consolas" w:eastAsia="Consolas" w:hAnsi="Consolas"/>
                <w:color w:val="1F4E79"/>
                <w:sz w:val="19"/>
                <w:szCs w:val="19"/>
              </w:rPr>
              <w:t xml:space="preserve">Explicacion_resumen_IA.docx</w:t>
            </w:r>
            <w:r>
              <w:rPr>
                <w:sz w:val="19"/>
                <w:szCs w:val="19"/>
              </w:rPr>
              <w:t xml:space="preserve"> (por qué se eligió, API, prompt y valor agregado)</w:t>
            </w:r>
          </w:p>
        </w:tc>
      </w:tr>
      <w:tr>
        <w:trPr>
          <w:cantSplit/>
          <w:tblHeader w:val="off"/>
        </w:trPr>
        <w:tc>
          <w:tcPr>
            <w:tcW w:type="dxa" w:w="2700"/>
            <w:tcMar>
              <w:top w:type="dxa" w:w="60"/>
              <w:left w:type="dxa" w:w="100"/>
              <w:bottom w:type="dxa" w:w="60"/>
              <w:right w:type="dxa" w:w="100"/>
            </w:tcMar>
          </w:tcPr>
          <w:p>
            <w:pPr>
              <w:keepNext w:val="false"/>
              <w:spacing w:after="0" w:before="0"/>
              <w:jc w:val="left"/>
            </w:pPr>
            <w:r>
              <w:rPr>
                <w:rFonts w:ascii="Consolas" w:cs="Consolas" w:eastAsia="Consolas" w:hAnsi="Consolas"/>
                <w:color w:val="1F4E79"/>
                <w:sz w:val="19"/>
                <w:szCs w:val="19"/>
              </w:rPr>
              <w:t xml:space="preserve">Resumen_Descubrimientos</w:t>
            </w:r>
          </w:p>
        </w:tc>
        <w:tc>
          <w:tcPr>
            <w:tcW w:type="dxa" w:w="6660"/>
            <w:tcMar>
              <w:top w:type="dxa" w:w="60"/>
              <w:left w:type="dxa" w:w="100"/>
              <w:bottom w:type="dxa" w:w="60"/>
              <w:right w:type="dxa" w:w="100"/>
            </w:tcMar>
          </w:tcPr>
          <w:p>
            <w:pPr>
              <w:keepNext w:val="false"/>
              <w:spacing w:after="0" w:before="0"/>
              <w:jc w:val="left"/>
            </w:pPr>
            <w:r>
              <w:rPr>
                <w:rFonts w:ascii="Consolas" w:cs="Consolas" w:eastAsia="Consolas" w:hAnsi="Consolas"/>
                <w:color w:val="1F4E79"/>
                <w:sz w:val="19"/>
                <w:szCs w:val="19"/>
              </w:rPr>
              <w:t xml:space="preserve">Descubrimientos.docx</w:t>
            </w:r>
            <w:r>
              <w:rPr>
                <w:sz w:val="19"/>
                <w:szCs w:val="19"/>
              </w:rPr>
              <w:t xml:space="preserve"> (este documento)</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datos</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Bases_Cobranza.xlsx</w:t>
            </w:r>
            <w:r>
              <w:rPr>
                <w:sz w:val="19"/>
                <w:szCs w:val="19"/>
              </w:rPr>
              <w:t xml:space="preserve"> y </w:t>
            </w:r>
            <w:r>
              <w:rPr>
                <w:rFonts w:ascii="Consolas" w:cs="Consolas" w:eastAsia="Consolas" w:hAnsi="Consolas"/>
                <w:color w:val="1F4E79"/>
                <w:sz w:val="19"/>
                <w:szCs w:val="19"/>
              </w:rPr>
              <w:t xml:space="preserve">base 2.xlsx</w:t>
            </w:r>
            <w:r>
              <w:rPr>
                <w:sz w:val="19"/>
                <w:szCs w:val="19"/>
              </w:rPr>
              <w:t xml:space="preserve"> (Excel de origen)</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(raíz)</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Instructivo_de_uso.txt</w:t>
            </w:r>
            <w:r>
              <w:rPr>
                <w:sz w:val="19"/>
                <w:szCs w:val="19"/>
              </w:rPr>
              <w:t xml:space="preserve"> (instructivo de uso paso a paso) y </w:t>
            </w:r>
            <w:r>
              <w:rPr>
                <w:rFonts w:ascii="Consolas" w:cs="Consolas" w:eastAsia="Consolas" w:hAnsi="Consolas"/>
                <w:color w:val="1F4E79"/>
                <w:sz w:val="19"/>
                <w:szCs w:val="19"/>
              </w:rPr>
              <w:t xml:space="preserve">requirements.txt</w:t>
            </w:r>
            <w:r>
              <w:rPr>
                <w:sz w:val="19"/>
                <w:szCs w:val="19"/>
              </w:rPr>
              <w:t xml:space="preserve"> (dependencias de Python)</w:t>
            </w:r>
          </w:p>
        </w:tc>
      </w:tr>
    </w:tbl>
    <w:p>
      <w:pPr>
        <w:spacing w:after="80"/>
      </w:pP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Descubrimientos   ·   </w:t>
    </w:r>
    <w:r>
      <w:rPr>
        <w:color w:val="595959"/>
        <w:sz w:val="16"/>
        <w:szCs w:val="16"/>
      </w:rPr>
      <w:t xml:space="preserve">Página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b/>
      <w:bCs/>
      <w:color w:val="1F3864"/>
      <w:sz w:val="30"/>
      <w:szCs w:val="30"/>
    </w:rPr>
  </w:style>
  <w:style w:type="paragraph" w:styleId="Heading2">
    <w:name w:val="Heading 2"/>
    <w:basedOn w:val="Normal"/>
    <w:next w:val="Normal"/>
    <w:qFormat/>
    <w:pPr>
      <w:keepNext/>
      <w:spacing w:after="100" w:before="240"/>
      <w:outlineLvl w:val="1"/>
    </w:pPr>
    <w:rPr>
      <w:b/>
      <w:bCs/>
      <w:color w:val="2F5496"/>
      <w:sz w:val="25"/>
      <w:szCs w:val="25"/>
    </w:rPr>
  </w:style>
  <w:style w:type="paragraph" w:styleId="Heading3">
    <w:name w:val="Heading 3"/>
    <w:basedOn w:val="Normal"/>
    <w:next w:val="Normal"/>
    <w:qFormat/>
    <w:pPr>
      <w:keepNext/>
      <w:spacing w:after="80" w:before="200"/>
      <w:outlineLvl w:val="2"/>
    </w:pPr>
    <w:rPr>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Descubrimientos más relevantes</dc:title>
  <dc:creator>Analítica de cobranza</dc:creator>
  <cp:lastModifiedBy>Un-named</cp:lastModifiedBy>
  <cp:revision>1</cp:revision>
  <dcterms:created xsi:type="dcterms:W3CDTF">2026-10-19T20:41:42.310Z</dcterms:created>
  <dcterms:modified xsi:type="dcterms:W3CDTF">2026-10-19T20:41:42.312Z</dcterms:modified>
</cp:coreProperties>
</file>

<file path=docProps/custom.xml><?xml version="1.0" encoding="utf-8"?>
<Properties xmlns="http://schemas.openxmlformats.org/officeDocument/2006/custom-properties" xmlns:vt="http://schemas.openxmlformats.org/officeDocument/2006/docPropsVTypes"/>
</file>