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6B7C3" w14:textId="77777777" w:rsidR="00815712" w:rsidRPr="006107FF" w:rsidRDefault="00000000" w:rsidP="006107FF">
      <w:pPr>
        <w:spacing w:before="300" w:after="80" w:line="480" w:lineRule="auto"/>
        <w:rPr>
          <w:rFonts w:asciiTheme="minorHAnsi" w:hAnsiTheme="minorHAnsi"/>
          <w:sz w:val="32"/>
          <w:szCs w:val="32"/>
        </w:rPr>
      </w:pPr>
      <w:r w:rsidRPr="006107FF">
        <w:rPr>
          <w:rFonts w:asciiTheme="minorHAnsi" w:hAnsiTheme="minorHAnsi"/>
          <w:b/>
          <w:bCs/>
          <w:sz w:val="32"/>
          <w:szCs w:val="32"/>
        </w:rPr>
        <w:t>Greenleaf Cosmetics announces closure of UK stores and withdrawal from three overseas markets in protest against ‘inadequate’ environmental regulation</w:t>
      </w:r>
    </w:p>
    <w:p w14:paraId="33F9335D" w14:textId="77777777" w:rsidR="006107FF" w:rsidRPr="006107FF" w:rsidRDefault="006107FF" w:rsidP="006107FF">
      <w:pPr>
        <w:spacing w:after="200" w:line="480" w:lineRule="auto"/>
        <w:jc w:val="both"/>
        <w:rPr>
          <w:rFonts w:asciiTheme="minorHAnsi" w:hAnsiTheme="minorHAnsi"/>
          <w:i/>
          <w:iCs/>
          <w:color w:val="666666"/>
        </w:rPr>
      </w:pPr>
    </w:p>
    <w:p w14:paraId="15050E71" w14:textId="3B4DD535" w:rsidR="00815712" w:rsidRDefault="00000000" w:rsidP="006107FF">
      <w:pPr>
        <w:spacing w:after="200" w:line="480" w:lineRule="auto"/>
        <w:jc w:val="both"/>
        <w:rPr>
          <w:rFonts w:asciiTheme="minorHAnsi" w:hAnsiTheme="minorHAnsi"/>
        </w:rPr>
      </w:pPr>
      <w:r w:rsidRPr="006107FF">
        <w:rPr>
          <w:rFonts w:asciiTheme="minorHAnsi" w:hAnsiTheme="minorHAnsi"/>
        </w:rPr>
        <w:t>Greenleaf Cosmetics, the Bristol-based ethical beauty brand known for its commitment to sustainable sourcing and plastic-free packaging, has announced that it will permanently close 38 of its 85 UK high-street stores and withdraw entirely from its operations in Indonesia, Brazil, and Nigeria. The company’s founder and chief executive, Rachel Okonkwo, described the move as a “deliberate act of corporate conscience” in the face of what she called governments’ failure to enforce meaningful environmental protections.</w:t>
      </w:r>
    </w:p>
    <w:p w14:paraId="45C2EAF2" w14:textId="77777777" w:rsidR="006107FF" w:rsidRPr="006107FF" w:rsidRDefault="006107FF" w:rsidP="006107FF">
      <w:pPr>
        <w:spacing w:after="200" w:line="480" w:lineRule="auto"/>
        <w:jc w:val="both"/>
        <w:rPr>
          <w:rFonts w:asciiTheme="minorHAnsi" w:hAnsiTheme="minorHAnsi"/>
        </w:rPr>
      </w:pPr>
    </w:p>
    <w:p w14:paraId="7E07C350" w14:textId="77777777" w:rsidR="00815712" w:rsidRDefault="00000000" w:rsidP="006107FF">
      <w:pPr>
        <w:spacing w:after="200" w:line="480" w:lineRule="auto"/>
        <w:jc w:val="both"/>
        <w:rPr>
          <w:rFonts w:asciiTheme="minorHAnsi" w:hAnsiTheme="minorHAnsi"/>
        </w:rPr>
      </w:pPr>
      <w:r w:rsidRPr="006107FF">
        <w:rPr>
          <w:rFonts w:asciiTheme="minorHAnsi" w:hAnsiTheme="minorHAnsi"/>
        </w:rPr>
        <w:t>“We have spent twenty years building a business that puts the planet before profit,” Okonkwo said in a statement released on Thursday. “But we can no longer operate in markets where the regulatory framework actively enables the destruction of the ecosystems our products depend on. Our presence in those markets was beginning to feel like complicity.”</w:t>
      </w:r>
    </w:p>
    <w:p w14:paraId="0A3793FC" w14:textId="77777777" w:rsidR="006107FF" w:rsidRPr="006107FF" w:rsidRDefault="006107FF" w:rsidP="006107FF">
      <w:pPr>
        <w:spacing w:after="200" w:line="480" w:lineRule="auto"/>
        <w:jc w:val="both"/>
        <w:rPr>
          <w:rFonts w:asciiTheme="minorHAnsi" w:hAnsiTheme="minorHAnsi"/>
        </w:rPr>
      </w:pPr>
    </w:p>
    <w:p w14:paraId="0ADCD218" w14:textId="77777777" w:rsidR="00815712" w:rsidRDefault="00000000" w:rsidP="006107FF">
      <w:pPr>
        <w:spacing w:after="200" w:line="480" w:lineRule="auto"/>
        <w:jc w:val="both"/>
        <w:rPr>
          <w:rFonts w:asciiTheme="minorHAnsi" w:hAnsiTheme="minorHAnsi"/>
        </w:rPr>
      </w:pPr>
      <w:r w:rsidRPr="006107FF">
        <w:rPr>
          <w:rFonts w:asciiTheme="minorHAnsi" w:hAnsiTheme="minorHAnsi"/>
        </w:rPr>
        <w:t xml:space="preserve">The decision, which will take effect over the next six months, is expected to result in approximately 600 redundancies across the UK and a further 450 job losses overseas. </w:t>
      </w:r>
      <w:r w:rsidRPr="006107FF">
        <w:rPr>
          <w:rFonts w:asciiTheme="minorHAnsi" w:hAnsiTheme="minorHAnsi"/>
        </w:rPr>
        <w:lastRenderedPageBreak/>
        <w:t>Greenleaf has said it will offer enhanced severance packages, retraining support, and priority re-employment to affected staff, but trade unions have responded critically.</w:t>
      </w:r>
    </w:p>
    <w:p w14:paraId="363EA672" w14:textId="77777777" w:rsidR="006107FF" w:rsidRPr="006107FF" w:rsidRDefault="006107FF" w:rsidP="006107FF">
      <w:pPr>
        <w:spacing w:after="200" w:line="480" w:lineRule="auto"/>
        <w:jc w:val="both"/>
        <w:rPr>
          <w:rFonts w:asciiTheme="minorHAnsi" w:hAnsiTheme="minorHAnsi"/>
        </w:rPr>
      </w:pPr>
    </w:p>
    <w:p w14:paraId="5474AA20" w14:textId="77777777" w:rsidR="00815712" w:rsidRDefault="00000000" w:rsidP="006107FF">
      <w:pPr>
        <w:spacing w:after="200" w:line="480" w:lineRule="auto"/>
        <w:jc w:val="both"/>
        <w:rPr>
          <w:rFonts w:asciiTheme="minorHAnsi" w:hAnsiTheme="minorHAnsi"/>
        </w:rPr>
      </w:pPr>
      <w:r w:rsidRPr="006107FF">
        <w:rPr>
          <w:rFonts w:asciiTheme="minorHAnsi" w:hAnsiTheme="minorHAnsi"/>
        </w:rPr>
        <w:t>Derek Simmons, regional secretary of the Retail, Distribution and Allied Workers’ Union (RDAWU), said the decision was “irresponsible and self-indulgent.” He argued: “More than a thousand families will lose their livelihoods so that a company can make a political point. These workers didn’t sign up to be pawns in a corporate protest. There are better ways to campaign for environmental regulation than putting people out of work.”</w:t>
      </w:r>
    </w:p>
    <w:p w14:paraId="1590F66C" w14:textId="77777777" w:rsidR="006107FF" w:rsidRPr="006107FF" w:rsidRDefault="006107FF" w:rsidP="006107FF">
      <w:pPr>
        <w:spacing w:after="200" w:line="480" w:lineRule="auto"/>
        <w:jc w:val="both"/>
        <w:rPr>
          <w:rFonts w:asciiTheme="minorHAnsi" w:hAnsiTheme="minorHAnsi"/>
        </w:rPr>
      </w:pPr>
    </w:p>
    <w:p w14:paraId="1AAF6B70" w14:textId="77777777" w:rsidR="00815712" w:rsidRDefault="00000000" w:rsidP="006107FF">
      <w:pPr>
        <w:spacing w:after="200" w:line="480" w:lineRule="auto"/>
        <w:jc w:val="both"/>
        <w:rPr>
          <w:rFonts w:asciiTheme="minorHAnsi" w:hAnsiTheme="minorHAnsi"/>
        </w:rPr>
      </w:pPr>
      <w:r w:rsidRPr="006107FF">
        <w:rPr>
          <w:rFonts w:asciiTheme="minorHAnsi" w:hAnsiTheme="minorHAnsi"/>
        </w:rPr>
        <w:t>The reaction from environmental campaign groups, however, has been largely positive. Greenpeace UK released a statement calling Greenleaf’s decision “brave and principled,” adding that “more businesses need to use their economic influence to hold governments accountable for their environmental commitments.” Friends of the Earth echoed this view, describing the closures as a “powerful statement about the limits of voluntary corporate responsibility when governments refuse to regulate.”</w:t>
      </w:r>
    </w:p>
    <w:p w14:paraId="3CBB36A0" w14:textId="77777777" w:rsidR="006107FF" w:rsidRPr="006107FF" w:rsidRDefault="006107FF" w:rsidP="006107FF">
      <w:pPr>
        <w:spacing w:after="200" w:line="480" w:lineRule="auto"/>
        <w:jc w:val="both"/>
        <w:rPr>
          <w:rFonts w:asciiTheme="minorHAnsi" w:hAnsiTheme="minorHAnsi"/>
        </w:rPr>
      </w:pPr>
    </w:p>
    <w:p w14:paraId="56B96B0C" w14:textId="77777777" w:rsidR="00815712" w:rsidRDefault="00000000" w:rsidP="006107FF">
      <w:pPr>
        <w:spacing w:after="200" w:line="480" w:lineRule="auto"/>
        <w:jc w:val="both"/>
        <w:rPr>
          <w:rFonts w:asciiTheme="minorHAnsi" w:hAnsiTheme="minorHAnsi"/>
        </w:rPr>
      </w:pPr>
      <w:r w:rsidRPr="006107FF">
        <w:rPr>
          <w:rFonts w:asciiTheme="minorHAnsi" w:hAnsiTheme="minorHAnsi"/>
        </w:rPr>
        <w:t xml:space="preserve">The withdrawal from Indonesia, Brazil, and Nigeria has drawn particular attention. Greenleaf has sourced shea butter, palm oil, and coconut oil from smallholder cooperatives in these countries for over a decade, and the company’s departure is expected to significantly affect the income of several thousand farming families. A spokesperson for the Nigerian Smallholders’ Alliance expressed concern that “the </w:t>
      </w:r>
      <w:r w:rsidRPr="006107FF">
        <w:rPr>
          <w:rFonts w:asciiTheme="minorHAnsi" w:hAnsiTheme="minorHAnsi"/>
        </w:rPr>
        <w:lastRenderedPageBreak/>
        <w:t>people who will suffer most from this decision are not the governments being criticised, but the rural communities who relied on Greenleaf’s fair-trade purchasing agreements.”</w:t>
      </w:r>
    </w:p>
    <w:p w14:paraId="1EE260DA" w14:textId="77777777" w:rsidR="006107FF" w:rsidRPr="006107FF" w:rsidRDefault="006107FF" w:rsidP="006107FF">
      <w:pPr>
        <w:spacing w:after="200" w:line="480" w:lineRule="auto"/>
        <w:jc w:val="both"/>
        <w:rPr>
          <w:rFonts w:asciiTheme="minorHAnsi" w:hAnsiTheme="minorHAnsi"/>
        </w:rPr>
      </w:pPr>
    </w:p>
    <w:p w14:paraId="224C9084" w14:textId="77777777" w:rsidR="00815712" w:rsidRDefault="00000000" w:rsidP="006107FF">
      <w:pPr>
        <w:spacing w:after="200" w:line="480" w:lineRule="auto"/>
        <w:jc w:val="both"/>
        <w:rPr>
          <w:rFonts w:asciiTheme="minorHAnsi" w:hAnsiTheme="minorHAnsi"/>
        </w:rPr>
      </w:pPr>
      <w:r w:rsidRPr="006107FF">
        <w:rPr>
          <w:rFonts w:asciiTheme="minorHAnsi" w:hAnsiTheme="minorHAnsi"/>
        </w:rPr>
        <w:t>Industry analysts are divided on the commercial logic of the move. Dr Priya Mehta, a retail strategist at the University of Manchester, noted that Greenleaf has been under financial pressure for several years, with declining footfall and increased online competition eroding its high-street margins. “There is a question about whether this is genuinely an ethical stand or a commercially convenient decision wrapped in moral language,” she said. “Closing underperforming stores and exiting difficult markets is something many retailers are doing – Greenleaf has simply found a more compelling narrative for it.”</w:t>
      </w:r>
    </w:p>
    <w:p w14:paraId="3B382FDC" w14:textId="77777777" w:rsidR="006107FF" w:rsidRPr="006107FF" w:rsidRDefault="006107FF" w:rsidP="006107FF">
      <w:pPr>
        <w:spacing w:after="200" w:line="480" w:lineRule="auto"/>
        <w:jc w:val="both"/>
        <w:rPr>
          <w:rFonts w:asciiTheme="minorHAnsi" w:hAnsiTheme="minorHAnsi"/>
        </w:rPr>
      </w:pPr>
    </w:p>
    <w:p w14:paraId="6E50D3AB" w14:textId="77777777" w:rsidR="00815712" w:rsidRDefault="00000000" w:rsidP="006107FF">
      <w:pPr>
        <w:spacing w:after="200" w:line="480" w:lineRule="auto"/>
        <w:jc w:val="both"/>
        <w:rPr>
          <w:rFonts w:asciiTheme="minorHAnsi" w:hAnsiTheme="minorHAnsi"/>
        </w:rPr>
      </w:pPr>
      <w:r w:rsidRPr="006107FF">
        <w:rPr>
          <w:rFonts w:asciiTheme="minorHAnsi" w:hAnsiTheme="minorHAnsi"/>
        </w:rPr>
        <w:t>Others have been more sympathetic. Professor James Hargreaves, who teaches business ethics at the London School of Economics, argued that Greenleaf’s move represents “a significant evolution in corporate activism.” He noted: “We have seen individual companies take ethical stands before – withdrawing from social media, refusing to stock certain products – but a systematic withdrawal from multiple markets to pressure governments on environmental regulation is relatively unprecedented. Whether you agree with the tactic or not, it forces important questions about the role of business in shaping public policy.”</w:t>
      </w:r>
    </w:p>
    <w:p w14:paraId="4FF2FD8D" w14:textId="77777777" w:rsidR="006107FF" w:rsidRPr="006107FF" w:rsidRDefault="006107FF" w:rsidP="006107FF">
      <w:pPr>
        <w:spacing w:after="200" w:line="480" w:lineRule="auto"/>
        <w:jc w:val="both"/>
        <w:rPr>
          <w:rFonts w:asciiTheme="minorHAnsi" w:hAnsiTheme="minorHAnsi"/>
        </w:rPr>
      </w:pPr>
    </w:p>
    <w:p w14:paraId="2DD53E69" w14:textId="77777777" w:rsidR="00815712" w:rsidRDefault="00000000" w:rsidP="006107FF">
      <w:pPr>
        <w:spacing w:after="200" w:line="480" w:lineRule="auto"/>
        <w:jc w:val="both"/>
        <w:rPr>
          <w:rFonts w:asciiTheme="minorHAnsi" w:hAnsiTheme="minorHAnsi"/>
        </w:rPr>
      </w:pPr>
      <w:r w:rsidRPr="006107FF">
        <w:rPr>
          <w:rFonts w:asciiTheme="minorHAnsi" w:hAnsiTheme="minorHAnsi"/>
        </w:rPr>
        <w:t xml:space="preserve">The UK Government has not commented directly on Greenleaf’s announcement, although a spokesperson for the Department for Business and Trade said the </w:t>
      </w:r>
      <w:r w:rsidRPr="006107FF">
        <w:rPr>
          <w:rFonts w:asciiTheme="minorHAnsi" w:hAnsiTheme="minorHAnsi"/>
        </w:rPr>
        <w:lastRenderedPageBreak/>
        <w:t>government was “committed to supporting businesses through the green transition” and pointed to recent legislative reforms on corporate sustainability reporting. In Indonesia, the Ministry of Trade issued a brief statement expressing “regret” at the withdrawal and noting that the country’s environmental laws “meet international standards.”</w:t>
      </w:r>
    </w:p>
    <w:p w14:paraId="6DE7DABE" w14:textId="77777777" w:rsidR="006107FF" w:rsidRPr="006107FF" w:rsidRDefault="006107FF" w:rsidP="006107FF">
      <w:pPr>
        <w:spacing w:after="200" w:line="480" w:lineRule="auto"/>
        <w:jc w:val="both"/>
        <w:rPr>
          <w:rFonts w:asciiTheme="minorHAnsi" w:hAnsiTheme="minorHAnsi"/>
        </w:rPr>
      </w:pPr>
    </w:p>
    <w:p w14:paraId="68C7FC36" w14:textId="77777777" w:rsidR="00815712" w:rsidRDefault="00000000" w:rsidP="006107FF">
      <w:pPr>
        <w:spacing w:after="200" w:line="480" w:lineRule="auto"/>
        <w:jc w:val="both"/>
        <w:rPr>
          <w:rFonts w:asciiTheme="minorHAnsi" w:hAnsiTheme="minorHAnsi"/>
        </w:rPr>
      </w:pPr>
      <w:r w:rsidRPr="006107FF">
        <w:rPr>
          <w:rFonts w:asciiTheme="minorHAnsi" w:hAnsiTheme="minorHAnsi"/>
        </w:rPr>
        <w:t>Consumer reaction has been mixed. On social media, the announcement generated significant debate, with supporters praising Greenleaf for “putting its money where its mouth is” and critics accusing the company of virtue signalling. A snap poll conducted by YouGov on Friday found that 42% of respondents supported the closures, 35% opposed them, and 23% said they were unsure. Among existing Greenleaf customers, however, support was higher, with 61% saying they were “more likely” to continue buying from the brand.</w:t>
      </w:r>
    </w:p>
    <w:p w14:paraId="3C2A3810" w14:textId="77777777" w:rsidR="006107FF" w:rsidRPr="006107FF" w:rsidRDefault="006107FF" w:rsidP="006107FF">
      <w:pPr>
        <w:spacing w:after="200" w:line="480" w:lineRule="auto"/>
        <w:jc w:val="both"/>
        <w:rPr>
          <w:rFonts w:asciiTheme="minorHAnsi" w:hAnsiTheme="minorHAnsi"/>
        </w:rPr>
      </w:pPr>
    </w:p>
    <w:p w14:paraId="5B239B0D" w14:textId="77777777" w:rsidR="00815712" w:rsidRDefault="00000000" w:rsidP="006107FF">
      <w:pPr>
        <w:spacing w:after="200" w:line="480" w:lineRule="auto"/>
        <w:jc w:val="both"/>
        <w:rPr>
          <w:rFonts w:asciiTheme="minorHAnsi" w:hAnsiTheme="minorHAnsi"/>
        </w:rPr>
      </w:pPr>
      <w:r w:rsidRPr="006107FF">
        <w:rPr>
          <w:rFonts w:asciiTheme="minorHAnsi" w:hAnsiTheme="minorHAnsi"/>
        </w:rPr>
        <w:t>Greenleaf’s shareholders will vote on the restructuring plan at an extraordinary general meeting next month. Several institutional investors have expressed concern about the impact on short-term returns, although the company’s largest shareholder, the Okonkwo Family Trust, which holds a 34% stake, has indicated its support. The company has stated that it intends to redirect resources from closed stores into its online operations, its research and development programme for biodegradable packaging, and a new “Community Impact Fund” to support affected workers and supply-chain partners.</w:t>
      </w:r>
    </w:p>
    <w:p w14:paraId="61824A9E" w14:textId="77777777" w:rsidR="006107FF" w:rsidRPr="006107FF" w:rsidRDefault="006107FF" w:rsidP="006107FF">
      <w:pPr>
        <w:spacing w:after="200" w:line="480" w:lineRule="auto"/>
        <w:jc w:val="both"/>
        <w:rPr>
          <w:rFonts w:asciiTheme="minorHAnsi" w:hAnsiTheme="minorHAnsi"/>
        </w:rPr>
      </w:pPr>
    </w:p>
    <w:p w14:paraId="00003019" w14:textId="77777777" w:rsidR="00815712" w:rsidRDefault="00000000" w:rsidP="006107FF">
      <w:pPr>
        <w:spacing w:after="200" w:line="480" w:lineRule="auto"/>
        <w:jc w:val="both"/>
        <w:rPr>
          <w:rFonts w:asciiTheme="minorHAnsi" w:hAnsiTheme="minorHAnsi"/>
        </w:rPr>
      </w:pPr>
      <w:r w:rsidRPr="006107FF">
        <w:rPr>
          <w:rFonts w:asciiTheme="minorHAnsi" w:hAnsiTheme="minorHAnsi"/>
        </w:rPr>
        <w:lastRenderedPageBreak/>
        <w:t>The case has also prompted renewed discussion about the broader relationship between business and civil society organisations. Several NGOs have announced plans to use Greenleaf’s withdrawal as a catalyst for a wider campaign urging multinational companies to adopt “regulatory accountability clauses” in their operating frameworks – effectively committing to exit markets where environmental standards fall below agreed thresholds. The Global Alliance for Corporate Responsibility, a coalition of over 200 civil society organisations, described the proposal as “a logical next step in the evolution of corporate social responsibility.”</w:t>
      </w:r>
    </w:p>
    <w:p w14:paraId="5B30455D" w14:textId="77777777" w:rsidR="006107FF" w:rsidRPr="006107FF" w:rsidRDefault="006107FF" w:rsidP="006107FF">
      <w:pPr>
        <w:spacing w:after="200" w:line="480" w:lineRule="auto"/>
        <w:jc w:val="both"/>
        <w:rPr>
          <w:rFonts w:asciiTheme="minorHAnsi" w:hAnsiTheme="minorHAnsi"/>
        </w:rPr>
      </w:pPr>
    </w:p>
    <w:p w14:paraId="2241D18D" w14:textId="2572F374" w:rsidR="00815712" w:rsidRPr="006107FF" w:rsidRDefault="00000000" w:rsidP="006107FF">
      <w:pPr>
        <w:spacing w:after="200" w:line="480" w:lineRule="auto"/>
        <w:jc w:val="both"/>
        <w:rPr>
          <w:rFonts w:asciiTheme="minorHAnsi" w:hAnsiTheme="minorHAnsi"/>
        </w:rPr>
      </w:pPr>
      <w:r w:rsidRPr="006107FF">
        <w:rPr>
          <w:rFonts w:asciiTheme="minorHAnsi" w:hAnsiTheme="minorHAnsi"/>
        </w:rPr>
        <w:t>Whether Greenleaf’s gamble will pay off – commercially or politically remains to be seen. What is clear is that the decision has placed the relationship between business, government, and civil society squarely at the centre of public debate.</w:t>
      </w:r>
    </w:p>
    <w:sectPr w:rsidR="00815712" w:rsidRPr="006107FF">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CC671" w14:textId="77777777" w:rsidR="007049BA" w:rsidRDefault="007049BA" w:rsidP="006107FF">
      <w:r>
        <w:separator/>
      </w:r>
    </w:p>
  </w:endnote>
  <w:endnote w:type="continuationSeparator" w:id="0">
    <w:p w14:paraId="2F9BD5FE" w14:textId="77777777" w:rsidR="007049BA" w:rsidRDefault="007049BA" w:rsidP="006107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0531C" w14:textId="20F87EA6" w:rsidR="006107FF" w:rsidRDefault="006107FF">
    <w:pPr>
      <w:pStyle w:val="Footer"/>
    </w:pPr>
    <w:r>
      <w:fldChar w:fldCharType="begin"/>
    </w:r>
    <w:r>
      <w:instrText xml:space="preserve"> INCLUDEPICTURE "/Users/markelliot/Library/Group Containers/UBF8T346G9.ms/WebArchiveCopyPasteTempFiles/com.microsoft.Word/uob-logo-black.webp" \* MERGEFORMATINET </w:instrText>
    </w:r>
    <w:r>
      <w:fldChar w:fldCharType="separate"/>
    </w:r>
    <w:r>
      <w:rPr>
        <w:noProof/>
      </w:rPr>
      <w:drawing>
        <wp:inline distT="0" distB="0" distL="0" distR="0" wp14:anchorId="781F5CD9" wp14:editId="6639FA06">
          <wp:extent cx="1180415" cy="279221"/>
          <wp:effectExtent l="0" t="0" r="1270" b="635"/>
          <wp:docPr id="756195769" name="Picture 1" descr="Open days and ev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pen days and event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33325" cy="315391"/>
                  </a:xfrm>
                  <a:prstGeom prst="rect">
                    <a:avLst/>
                  </a:prstGeom>
                  <a:noFill/>
                  <a:ln>
                    <a:noFill/>
                  </a:ln>
                </pic:spPr>
              </pic:pic>
            </a:graphicData>
          </a:graphic>
        </wp:inline>
      </w:drawing>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0C142" w14:textId="77777777" w:rsidR="007049BA" w:rsidRDefault="007049BA" w:rsidP="006107FF">
      <w:r>
        <w:separator/>
      </w:r>
    </w:p>
  </w:footnote>
  <w:footnote w:type="continuationSeparator" w:id="0">
    <w:p w14:paraId="26A357AB" w14:textId="77777777" w:rsidR="007049BA" w:rsidRDefault="007049BA" w:rsidP="006107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024C1D"/>
    <w:multiLevelType w:val="hybridMultilevel"/>
    <w:tmpl w:val="60842082"/>
    <w:lvl w:ilvl="0" w:tplc="82AA14F6">
      <w:start w:val="1"/>
      <w:numFmt w:val="bullet"/>
      <w:lvlText w:val="●"/>
      <w:lvlJc w:val="left"/>
      <w:pPr>
        <w:ind w:left="720" w:hanging="360"/>
      </w:pPr>
    </w:lvl>
    <w:lvl w:ilvl="1" w:tplc="7C82EA76">
      <w:start w:val="1"/>
      <w:numFmt w:val="bullet"/>
      <w:lvlText w:val="○"/>
      <w:lvlJc w:val="left"/>
      <w:pPr>
        <w:ind w:left="1440" w:hanging="360"/>
      </w:pPr>
    </w:lvl>
    <w:lvl w:ilvl="2" w:tplc="7902CE54">
      <w:start w:val="1"/>
      <w:numFmt w:val="bullet"/>
      <w:lvlText w:val="■"/>
      <w:lvlJc w:val="left"/>
      <w:pPr>
        <w:ind w:left="2160" w:hanging="360"/>
      </w:pPr>
    </w:lvl>
    <w:lvl w:ilvl="3" w:tplc="202E0CC0">
      <w:start w:val="1"/>
      <w:numFmt w:val="bullet"/>
      <w:lvlText w:val="●"/>
      <w:lvlJc w:val="left"/>
      <w:pPr>
        <w:ind w:left="2880" w:hanging="360"/>
      </w:pPr>
    </w:lvl>
    <w:lvl w:ilvl="4" w:tplc="8D628B9C">
      <w:start w:val="1"/>
      <w:numFmt w:val="bullet"/>
      <w:lvlText w:val="○"/>
      <w:lvlJc w:val="left"/>
      <w:pPr>
        <w:ind w:left="3600" w:hanging="360"/>
      </w:pPr>
    </w:lvl>
    <w:lvl w:ilvl="5" w:tplc="8A3A389E">
      <w:start w:val="1"/>
      <w:numFmt w:val="bullet"/>
      <w:lvlText w:val="■"/>
      <w:lvlJc w:val="left"/>
      <w:pPr>
        <w:ind w:left="4320" w:hanging="360"/>
      </w:pPr>
    </w:lvl>
    <w:lvl w:ilvl="6" w:tplc="60A86DE4">
      <w:start w:val="1"/>
      <w:numFmt w:val="bullet"/>
      <w:lvlText w:val="●"/>
      <w:lvlJc w:val="left"/>
      <w:pPr>
        <w:ind w:left="5040" w:hanging="360"/>
      </w:pPr>
    </w:lvl>
    <w:lvl w:ilvl="7" w:tplc="556447D4">
      <w:start w:val="1"/>
      <w:numFmt w:val="bullet"/>
      <w:lvlText w:val="●"/>
      <w:lvlJc w:val="left"/>
      <w:pPr>
        <w:ind w:left="5760" w:hanging="360"/>
      </w:pPr>
    </w:lvl>
    <w:lvl w:ilvl="8" w:tplc="DF94B69A">
      <w:start w:val="1"/>
      <w:numFmt w:val="bullet"/>
      <w:lvlText w:val="●"/>
      <w:lvlJc w:val="left"/>
      <w:pPr>
        <w:ind w:left="6480" w:hanging="360"/>
      </w:pPr>
    </w:lvl>
  </w:abstractNum>
  <w:num w:numId="1" w16cid:durableId="6433946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5712"/>
    <w:rsid w:val="005625BE"/>
    <w:rsid w:val="006107FF"/>
    <w:rsid w:val="007049BA"/>
    <w:rsid w:val="00815712"/>
    <w:rsid w:val="00E166B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DA2F1A3"/>
  <w15:docId w15:val="{2415EC0D-0B3F-674A-B0D9-30804E095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36"/>
      <w:szCs w:val="36"/>
    </w:rPr>
  </w:style>
  <w:style w:type="paragraph" w:styleId="Heading2">
    <w:name w:val="heading 2"/>
    <w:uiPriority w:val="9"/>
    <w:semiHidden/>
    <w:unhideWhenUsed/>
    <w:qFormat/>
    <w:pPr>
      <w:spacing w:before="200" w:after="10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107FF"/>
    <w:pPr>
      <w:tabs>
        <w:tab w:val="center" w:pos="4513"/>
        <w:tab w:val="right" w:pos="9026"/>
      </w:tabs>
    </w:pPr>
  </w:style>
  <w:style w:type="character" w:customStyle="1" w:styleId="HeaderChar">
    <w:name w:val="Header Char"/>
    <w:basedOn w:val="DefaultParagraphFont"/>
    <w:link w:val="Header"/>
    <w:uiPriority w:val="99"/>
    <w:rsid w:val="006107FF"/>
  </w:style>
  <w:style w:type="paragraph" w:styleId="Footer">
    <w:name w:val="footer"/>
    <w:basedOn w:val="Normal"/>
    <w:link w:val="FooterChar"/>
    <w:uiPriority w:val="99"/>
    <w:unhideWhenUsed/>
    <w:rsid w:val="006107FF"/>
    <w:pPr>
      <w:tabs>
        <w:tab w:val="center" w:pos="4513"/>
        <w:tab w:val="right" w:pos="9026"/>
      </w:tabs>
    </w:pPr>
  </w:style>
  <w:style w:type="character" w:customStyle="1" w:styleId="FooterChar">
    <w:name w:val="Footer Char"/>
    <w:basedOn w:val="DefaultParagraphFont"/>
    <w:link w:val="Footer"/>
    <w:uiPriority w:val="99"/>
    <w:rsid w:val="006107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945</Words>
  <Characters>5626</Characters>
  <Application>Microsoft Office Word</Application>
  <DocSecurity>0</DocSecurity>
  <Lines>96</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Elliot</dc:creator>
  <cp:keywords/>
  <dc:description/>
  <cp:lastModifiedBy>Mark Elliot</cp:lastModifiedBy>
  <cp:revision>2</cp:revision>
  <dcterms:created xsi:type="dcterms:W3CDTF">2026-03-22T14:36:00Z</dcterms:created>
  <dcterms:modified xsi:type="dcterms:W3CDTF">2026-03-22T14:36:00Z</dcterms:modified>
  <cp:category/>
</cp:coreProperties>
</file>